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3B412" w14:textId="7204B2AD" w:rsidR="00746499" w:rsidRPr="007E3F70" w:rsidRDefault="00746499" w:rsidP="00746499">
      <w:pPr>
        <w:tabs>
          <w:tab w:val="left" w:pos="1620"/>
          <w:tab w:val="left" w:pos="8640"/>
          <w:tab w:val="left" w:pos="8820"/>
          <w:tab w:val="left" w:pos="9180"/>
        </w:tabs>
        <w:rPr>
          <w:b/>
          <w:bCs/>
          <w:color w:val="000000"/>
          <w:lang w:val="en-GB" w:eastAsia="fr-FR"/>
        </w:rPr>
      </w:pPr>
      <w:r w:rsidRPr="007E3F70">
        <w:rPr>
          <w:b/>
          <w:bCs/>
          <w:color w:val="000000"/>
          <w:lang w:val="en-GB" w:eastAsia="fr-FR"/>
        </w:rPr>
        <w:t>Second regular session 2017</w:t>
      </w:r>
    </w:p>
    <w:p w14:paraId="46DFD780" w14:textId="77777777" w:rsidR="00746499" w:rsidRPr="007E3F70" w:rsidRDefault="00746499" w:rsidP="00746499">
      <w:pPr>
        <w:tabs>
          <w:tab w:val="left" w:pos="1620"/>
        </w:tabs>
        <w:rPr>
          <w:bCs/>
          <w:color w:val="000000"/>
          <w:lang w:val="en-GB" w:eastAsia="fr-FR"/>
        </w:rPr>
      </w:pPr>
      <w:r w:rsidRPr="007E3F70">
        <w:rPr>
          <w:bCs/>
          <w:color w:val="000000"/>
          <w:lang w:val="en-GB" w:eastAsia="fr-FR"/>
        </w:rPr>
        <w:t>5 - 11 September 2017, New York</w:t>
      </w:r>
    </w:p>
    <w:p w14:paraId="145B35D9" w14:textId="11654F5B" w:rsidR="00746499" w:rsidRPr="007E3F70" w:rsidRDefault="00746499" w:rsidP="00746499">
      <w:pPr>
        <w:tabs>
          <w:tab w:val="left" w:pos="1620"/>
        </w:tabs>
        <w:rPr>
          <w:bCs/>
          <w:color w:val="000000"/>
          <w:lang w:val="en-GB" w:eastAsia="fr-FR"/>
        </w:rPr>
      </w:pPr>
      <w:r w:rsidRPr="007E3F70">
        <w:rPr>
          <w:bCs/>
          <w:color w:val="000000"/>
          <w:lang w:val="en-GB" w:eastAsia="fr-FR"/>
        </w:rPr>
        <w:t xml:space="preserve">Item </w:t>
      </w:r>
      <w:r w:rsidR="00782ACA">
        <w:rPr>
          <w:bCs/>
          <w:color w:val="000000"/>
          <w:lang w:val="en-GB" w:eastAsia="fr-FR"/>
        </w:rPr>
        <w:t>6</w:t>
      </w:r>
      <w:r w:rsidRPr="007E3F70">
        <w:rPr>
          <w:bCs/>
          <w:color w:val="000000"/>
          <w:lang w:val="en-GB" w:eastAsia="fr-FR"/>
        </w:rPr>
        <w:t xml:space="preserve"> of the provisional agenda</w:t>
      </w:r>
    </w:p>
    <w:p w14:paraId="0A2D9256" w14:textId="77777777" w:rsidR="00746499" w:rsidRPr="007E3F70" w:rsidRDefault="00746499" w:rsidP="00746499">
      <w:pPr>
        <w:tabs>
          <w:tab w:val="left" w:pos="1620"/>
        </w:tabs>
        <w:rPr>
          <w:b/>
          <w:bCs/>
          <w:color w:val="000000"/>
          <w:lang w:val="en-GB" w:eastAsia="fr-FR"/>
        </w:rPr>
      </w:pPr>
      <w:r w:rsidRPr="007E3F70">
        <w:rPr>
          <w:b/>
          <w:bCs/>
          <w:color w:val="000000"/>
          <w:lang w:val="en-GB" w:eastAsia="fr-FR"/>
        </w:rPr>
        <w:t>Country programmes and related matters</w:t>
      </w:r>
    </w:p>
    <w:p w14:paraId="1153B22E" w14:textId="77777777" w:rsidR="00746499" w:rsidRPr="007E3F70" w:rsidRDefault="00746499" w:rsidP="00746499">
      <w:pPr>
        <w:tabs>
          <w:tab w:val="left" w:pos="1620"/>
        </w:tabs>
        <w:rPr>
          <w:b/>
          <w:color w:val="000000"/>
          <w:sz w:val="28"/>
          <w:szCs w:val="28"/>
          <w:lang w:val="en-GB" w:eastAsia="fr-FR"/>
        </w:rPr>
      </w:pPr>
    </w:p>
    <w:p w14:paraId="52E74662" w14:textId="77777777" w:rsidR="00746499" w:rsidRPr="007E3F70" w:rsidRDefault="00746499" w:rsidP="00746499">
      <w:pPr>
        <w:tabs>
          <w:tab w:val="left" w:pos="1620"/>
        </w:tabs>
        <w:ind w:right="-360"/>
        <w:rPr>
          <w:b/>
          <w:bCs/>
          <w:color w:val="000000"/>
          <w:sz w:val="32"/>
          <w:szCs w:val="32"/>
          <w:lang w:val="en-GB" w:eastAsia="fr-FR"/>
        </w:rPr>
      </w:pPr>
    </w:p>
    <w:p w14:paraId="0D83F5DF" w14:textId="25993082" w:rsidR="00746499" w:rsidRPr="007E3F70" w:rsidRDefault="00746499" w:rsidP="00746499">
      <w:pPr>
        <w:tabs>
          <w:tab w:val="left" w:pos="1620"/>
        </w:tabs>
        <w:ind w:right="-360"/>
        <w:rPr>
          <w:b/>
          <w:color w:val="000000"/>
          <w:sz w:val="32"/>
          <w:szCs w:val="32"/>
          <w:lang w:val="en-GB" w:eastAsia="fr-FR"/>
        </w:rPr>
      </w:pPr>
      <w:r w:rsidRPr="007E3F70">
        <w:rPr>
          <w:b/>
          <w:bCs/>
          <w:color w:val="000000"/>
          <w:sz w:val="32"/>
          <w:szCs w:val="32"/>
          <w:lang w:val="en-GB" w:eastAsia="fr-FR"/>
        </w:rPr>
        <w:t xml:space="preserve">Draft country programme document for </w:t>
      </w:r>
      <w:r>
        <w:rPr>
          <w:b/>
          <w:bCs/>
          <w:color w:val="000000"/>
          <w:sz w:val="32"/>
          <w:szCs w:val="32"/>
          <w:lang w:val="en-GB" w:eastAsia="fr-FR"/>
        </w:rPr>
        <w:t>the Republic of Moldova</w:t>
      </w:r>
      <w:r w:rsidRPr="007E3F70">
        <w:rPr>
          <w:b/>
          <w:bCs/>
          <w:color w:val="000000"/>
          <w:sz w:val="32"/>
          <w:szCs w:val="32"/>
          <w:lang w:val="en-GB" w:eastAsia="fr-FR"/>
        </w:rPr>
        <w:t xml:space="preserve"> (2018-2022)</w:t>
      </w:r>
    </w:p>
    <w:p w14:paraId="1A7C1E71" w14:textId="77777777" w:rsidR="00746499" w:rsidRPr="007E3F70" w:rsidRDefault="00746499" w:rsidP="00746499">
      <w:pPr>
        <w:tabs>
          <w:tab w:val="left" w:pos="1620"/>
        </w:tabs>
        <w:ind w:left="-720" w:right="328"/>
        <w:rPr>
          <w:color w:val="000000"/>
          <w:sz w:val="32"/>
          <w:szCs w:val="32"/>
          <w:lang w:val="en-GB" w:eastAsia="fr-FR"/>
        </w:rPr>
      </w:pPr>
    </w:p>
    <w:p w14:paraId="26A891E5" w14:textId="77777777" w:rsidR="00746499" w:rsidRPr="007E3F70" w:rsidRDefault="00746499" w:rsidP="00746499">
      <w:pPr>
        <w:tabs>
          <w:tab w:val="left" w:pos="1620"/>
        </w:tabs>
        <w:ind w:left="-720" w:right="328"/>
        <w:rPr>
          <w:color w:val="000000"/>
          <w:lang w:val="en-GB" w:eastAsia="fr-FR"/>
        </w:rPr>
      </w:pPr>
    </w:p>
    <w:p w14:paraId="2BF1C48D" w14:textId="66B04CDB" w:rsidR="00746499" w:rsidRPr="007E3F70" w:rsidRDefault="00746499" w:rsidP="0074649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spacing w:val="-2"/>
          <w:w w:val="103"/>
          <w:kern w:val="14"/>
          <w:sz w:val="28"/>
          <w:lang w:val="en-GB" w:eastAsia="fr-FR"/>
        </w:rPr>
      </w:pPr>
      <w:r>
        <w:rPr>
          <w:color w:val="000000"/>
          <w:kern w:val="14"/>
          <w:sz w:val="28"/>
          <w:lang w:val="en-GB" w:eastAsia="fr-FR"/>
        </w:rPr>
        <w:tab/>
      </w:r>
      <w:r w:rsidRPr="007E3F70">
        <w:rPr>
          <w:color w:val="000000"/>
          <w:kern w:val="14"/>
          <w:sz w:val="28"/>
          <w:lang w:val="en-GB" w:eastAsia="fr-FR"/>
        </w:rPr>
        <w:t>Contents</w:t>
      </w:r>
    </w:p>
    <w:p w14:paraId="39A98795" w14:textId="77777777" w:rsidR="00746499" w:rsidRPr="007E3F70" w:rsidRDefault="00746499" w:rsidP="00746499">
      <w:pPr>
        <w:tabs>
          <w:tab w:val="left" w:pos="1620"/>
        </w:tabs>
        <w:rPr>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746499" w:rsidRPr="007E3F70" w14:paraId="1458C913" w14:textId="77777777" w:rsidTr="008774A5">
        <w:tc>
          <w:tcPr>
            <w:tcW w:w="1060" w:type="dxa"/>
            <w:shd w:val="clear" w:color="auto" w:fill="auto"/>
          </w:tcPr>
          <w:p w14:paraId="37C33F1D" w14:textId="77777777" w:rsidR="00746499" w:rsidRPr="007E3F70" w:rsidRDefault="00746499" w:rsidP="008774A5">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58590929" w14:textId="77777777" w:rsidR="00746499" w:rsidRPr="007E3F70" w:rsidRDefault="00746499" w:rsidP="008774A5">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6AC14AA0" w14:textId="77777777" w:rsidR="00746499" w:rsidRPr="007E3F70" w:rsidRDefault="00746499" w:rsidP="008774A5">
            <w:pPr>
              <w:tabs>
                <w:tab w:val="left" w:pos="1620"/>
              </w:tabs>
              <w:suppressAutoHyphens/>
              <w:spacing w:after="120"/>
              <w:jc w:val="right"/>
              <w:rPr>
                <w:i/>
                <w:color w:val="000000"/>
                <w:spacing w:val="4"/>
                <w:w w:val="103"/>
                <w:kern w:val="14"/>
                <w:sz w:val="14"/>
                <w:lang w:val="en-GB" w:eastAsia="fr-FR"/>
              </w:rPr>
            </w:pPr>
            <w:r w:rsidRPr="007E3F70">
              <w:rPr>
                <w:i/>
                <w:iCs/>
                <w:color w:val="000000"/>
                <w:kern w:val="14"/>
                <w:sz w:val="14"/>
                <w:lang w:val="en-GB" w:eastAsia="fr-FR"/>
              </w:rPr>
              <w:t>Page</w:t>
            </w:r>
          </w:p>
        </w:tc>
      </w:tr>
      <w:tr w:rsidR="00746499" w:rsidRPr="007E3F70" w14:paraId="6A8DC571" w14:textId="77777777" w:rsidTr="008774A5">
        <w:tc>
          <w:tcPr>
            <w:tcW w:w="9540" w:type="dxa"/>
            <w:gridSpan w:val="3"/>
            <w:shd w:val="clear" w:color="auto" w:fill="auto"/>
          </w:tcPr>
          <w:p w14:paraId="2D26956D" w14:textId="77777777" w:rsidR="00746499" w:rsidRPr="007E3F70" w:rsidRDefault="00746499" w:rsidP="00746499">
            <w:pPr>
              <w:numPr>
                <w:ilvl w:val="0"/>
                <w:numId w:val="9"/>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7E3F70">
              <w:rPr>
                <w:color w:val="000000"/>
                <w:kern w:val="14"/>
                <w:lang w:val="en-GB" w:eastAsia="fr-FR"/>
              </w:rPr>
              <w:tab/>
              <w:t>Programme rationale</w:t>
            </w:r>
            <w:r w:rsidRPr="007E3F70">
              <w:rPr>
                <w:color w:val="000000"/>
                <w:sz w:val="24"/>
                <w:szCs w:val="24"/>
                <w:lang w:val="en-GB" w:eastAsia="fr-FR"/>
              </w:rPr>
              <w:tab/>
            </w:r>
          </w:p>
        </w:tc>
        <w:tc>
          <w:tcPr>
            <w:tcW w:w="362" w:type="dxa"/>
            <w:vMerge w:val="restart"/>
            <w:shd w:val="clear" w:color="auto" w:fill="auto"/>
            <w:vAlign w:val="bottom"/>
          </w:tcPr>
          <w:p w14:paraId="3C3F40ED" w14:textId="77777777" w:rsidR="00746499" w:rsidRPr="007E3F70" w:rsidRDefault="00746499" w:rsidP="008774A5">
            <w:pPr>
              <w:tabs>
                <w:tab w:val="left" w:pos="1620"/>
              </w:tabs>
              <w:suppressAutoHyphens/>
              <w:spacing w:after="120" w:line="240" w:lineRule="exact"/>
              <w:jc w:val="right"/>
              <w:rPr>
                <w:color w:val="000000"/>
                <w:spacing w:val="4"/>
                <w:w w:val="103"/>
                <w:kern w:val="14"/>
                <w:lang w:val="en-GB" w:eastAsia="fr-FR"/>
              </w:rPr>
            </w:pPr>
            <w:r w:rsidRPr="007E3F70">
              <w:rPr>
                <w:color w:val="000000"/>
                <w:kern w:val="14"/>
                <w:lang w:val="en-GB" w:eastAsia="fr-FR"/>
              </w:rPr>
              <w:t>2</w:t>
            </w:r>
          </w:p>
          <w:p w14:paraId="61AAA521" w14:textId="77777777" w:rsidR="00746499" w:rsidRPr="007E3F70" w:rsidRDefault="00746499" w:rsidP="008774A5">
            <w:pPr>
              <w:tabs>
                <w:tab w:val="left" w:pos="1620"/>
              </w:tabs>
              <w:suppressAutoHyphens/>
              <w:spacing w:after="120" w:line="240" w:lineRule="exact"/>
              <w:jc w:val="right"/>
              <w:rPr>
                <w:color w:val="000000"/>
                <w:spacing w:val="4"/>
                <w:w w:val="103"/>
                <w:kern w:val="14"/>
                <w:lang w:val="en-GB" w:eastAsia="fr-FR"/>
              </w:rPr>
            </w:pPr>
            <w:r w:rsidRPr="007E3F70">
              <w:rPr>
                <w:color w:val="000000"/>
                <w:kern w:val="14"/>
                <w:lang w:val="en-GB" w:eastAsia="fr-FR"/>
              </w:rPr>
              <w:t>4</w:t>
            </w:r>
          </w:p>
        </w:tc>
      </w:tr>
      <w:tr w:rsidR="00746499" w:rsidRPr="007E3F70" w14:paraId="347B930F" w14:textId="77777777" w:rsidTr="008774A5">
        <w:tc>
          <w:tcPr>
            <w:tcW w:w="9540" w:type="dxa"/>
            <w:gridSpan w:val="3"/>
            <w:shd w:val="clear" w:color="auto" w:fill="auto"/>
          </w:tcPr>
          <w:p w14:paraId="5BDC73D0" w14:textId="77777777" w:rsidR="00746499" w:rsidRPr="007E3F70" w:rsidRDefault="00746499" w:rsidP="00746499">
            <w:pPr>
              <w:numPr>
                <w:ilvl w:val="0"/>
                <w:numId w:val="9"/>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7E3F70">
              <w:rPr>
                <w:color w:val="000000"/>
                <w:kern w:val="14"/>
                <w:lang w:val="en-GB" w:eastAsia="fr-FR"/>
              </w:rPr>
              <w:tab/>
              <w:t>Programme priorities and partnerships………………………………………………….</w:t>
            </w:r>
            <w:r w:rsidRPr="007E3F70">
              <w:rPr>
                <w:color w:val="000000"/>
                <w:kern w:val="14"/>
                <w:sz w:val="17"/>
                <w:lang w:val="en-GB" w:eastAsia="fr-FR"/>
              </w:rPr>
              <w:tab/>
            </w:r>
            <w:r w:rsidRPr="007E3F70">
              <w:rPr>
                <w:color w:val="000000"/>
                <w:kern w:val="14"/>
                <w:lang w:val="en-GB" w:eastAsia="fr-FR"/>
              </w:rPr>
              <w:t>……….…</w:t>
            </w:r>
          </w:p>
        </w:tc>
        <w:tc>
          <w:tcPr>
            <w:tcW w:w="362" w:type="dxa"/>
            <w:vMerge/>
            <w:shd w:val="clear" w:color="auto" w:fill="auto"/>
            <w:vAlign w:val="bottom"/>
          </w:tcPr>
          <w:p w14:paraId="3353E4C1" w14:textId="77777777" w:rsidR="00746499" w:rsidRPr="007E3F70" w:rsidRDefault="00746499" w:rsidP="008774A5">
            <w:pPr>
              <w:tabs>
                <w:tab w:val="left" w:pos="1620"/>
              </w:tabs>
              <w:suppressAutoHyphens/>
              <w:spacing w:after="120" w:line="240" w:lineRule="exact"/>
              <w:jc w:val="right"/>
              <w:rPr>
                <w:color w:val="000000"/>
                <w:spacing w:val="4"/>
                <w:w w:val="103"/>
                <w:kern w:val="14"/>
                <w:lang w:val="en-GB" w:eastAsia="fr-FR"/>
              </w:rPr>
            </w:pPr>
          </w:p>
        </w:tc>
      </w:tr>
      <w:tr w:rsidR="00746499" w:rsidRPr="007E3F70" w14:paraId="6AE0C4F3" w14:textId="77777777" w:rsidTr="008774A5">
        <w:tc>
          <w:tcPr>
            <w:tcW w:w="9540" w:type="dxa"/>
            <w:gridSpan w:val="3"/>
            <w:shd w:val="clear" w:color="auto" w:fill="auto"/>
          </w:tcPr>
          <w:p w14:paraId="03C58337" w14:textId="77777777" w:rsidR="00746499" w:rsidRPr="007E3F70" w:rsidRDefault="00746499" w:rsidP="00746499">
            <w:pPr>
              <w:numPr>
                <w:ilvl w:val="0"/>
                <w:numId w:val="9"/>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7E3F70">
              <w:rPr>
                <w:color w:val="000000"/>
                <w:kern w:val="14"/>
                <w:lang w:val="en-GB" w:eastAsia="fr-FR"/>
              </w:rPr>
              <w:tab/>
              <w:t>Programme and risk management</w:t>
            </w:r>
            <w:r w:rsidRPr="007E3F70">
              <w:rPr>
                <w:color w:val="000000"/>
                <w:sz w:val="24"/>
                <w:szCs w:val="24"/>
                <w:lang w:val="en-GB" w:eastAsia="fr-FR"/>
              </w:rPr>
              <w:tab/>
            </w:r>
          </w:p>
        </w:tc>
        <w:tc>
          <w:tcPr>
            <w:tcW w:w="362" w:type="dxa"/>
            <w:vMerge w:val="restart"/>
            <w:shd w:val="clear" w:color="auto" w:fill="auto"/>
            <w:vAlign w:val="bottom"/>
          </w:tcPr>
          <w:p w14:paraId="4B478383" w14:textId="77777777" w:rsidR="00746499" w:rsidRPr="007E3F70" w:rsidRDefault="00746499" w:rsidP="008774A5">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p w14:paraId="118D0AB7" w14:textId="77777777" w:rsidR="00746499" w:rsidRPr="007E3F70" w:rsidRDefault="00746499" w:rsidP="008774A5">
            <w:pPr>
              <w:tabs>
                <w:tab w:val="left" w:pos="1620"/>
              </w:tabs>
              <w:suppressAutoHyphens/>
              <w:spacing w:after="120" w:line="240" w:lineRule="exact"/>
              <w:jc w:val="right"/>
              <w:rPr>
                <w:color w:val="000000"/>
                <w:spacing w:val="4"/>
                <w:w w:val="103"/>
                <w:kern w:val="14"/>
                <w:lang w:val="en-GB" w:eastAsia="fr-FR"/>
              </w:rPr>
            </w:pPr>
            <w:r>
              <w:rPr>
                <w:color w:val="000000"/>
                <w:kern w:val="14"/>
                <w:lang w:val="en-GB" w:eastAsia="fr-FR"/>
              </w:rPr>
              <w:t>7</w:t>
            </w:r>
          </w:p>
        </w:tc>
      </w:tr>
      <w:tr w:rsidR="00746499" w:rsidRPr="007E3F70" w14:paraId="60F9B53C" w14:textId="77777777" w:rsidTr="008774A5">
        <w:tc>
          <w:tcPr>
            <w:tcW w:w="9540" w:type="dxa"/>
            <w:gridSpan w:val="3"/>
            <w:shd w:val="clear" w:color="auto" w:fill="auto"/>
          </w:tcPr>
          <w:p w14:paraId="4BF0A081" w14:textId="77777777" w:rsidR="00746499" w:rsidRPr="007E3F70" w:rsidRDefault="00746499" w:rsidP="00746499">
            <w:pPr>
              <w:numPr>
                <w:ilvl w:val="0"/>
                <w:numId w:val="9"/>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7E3F70">
              <w:rPr>
                <w:color w:val="000000"/>
                <w:kern w:val="14"/>
                <w:lang w:val="en-GB" w:eastAsia="fr-FR"/>
              </w:rPr>
              <w:tab/>
              <w:t>Monitoring and evaluation</w:t>
            </w:r>
            <w:r w:rsidRPr="007E3F70">
              <w:rPr>
                <w:color w:val="000000"/>
                <w:sz w:val="24"/>
                <w:szCs w:val="24"/>
                <w:lang w:val="en-GB" w:eastAsia="fr-FR"/>
              </w:rPr>
              <w:tab/>
            </w:r>
            <w:r w:rsidRPr="007E3F70">
              <w:rPr>
                <w:color w:val="000000"/>
                <w:lang w:val="en-GB" w:eastAsia="fr-FR"/>
              </w:rPr>
              <w:t>…………………………………………………….……………………</w:t>
            </w:r>
          </w:p>
        </w:tc>
        <w:tc>
          <w:tcPr>
            <w:tcW w:w="362" w:type="dxa"/>
            <w:vMerge/>
            <w:shd w:val="clear" w:color="auto" w:fill="auto"/>
            <w:vAlign w:val="bottom"/>
          </w:tcPr>
          <w:p w14:paraId="694A4303" w14:textId="77777777" w:rsidR="00746499" w:rsidRPr="007E3F70" w:rsidRDefault="00746499" w:rsidP="008774A5">
            <w:pPr>
              <w:tabs>
                <w:tab w:val="left" w:pos="1620"/>
              </w:tabs>
              <w:suppressAutoHyphens/>
              <w:spacing w:after="120" w:line="240" w:lineRule="exact"/>
              <w:jc w:val="right"/>
              <w:rPr>
                <w:color w:val="000000"/>
                <w:spacing w:val="4"/>
                <w:w w:val="103"/>
                <w:kern w:val="14"/>
                <w:lang w:val="en-GB" w:eastAsia="fr-FR"/>
              </w:rPr>
            </w:pPr>
          </w:p>
        </w:tc>
      </w:tr>
      <w:tr w:rsidR="00746499" w:rsidRPr="007E3F70" w14:paraId="0225BE17" w14:textId="77777777" w:rsidTr="008774A5">
        <w:tc>
          <w:tcPr>
            <w:tcW w:w="9369" w:type="dxa"/>
            <w:gridSpan w:val="2"/>
            <w:shd w:val="clear" w:color="auto" w:fill="auto"/>
          </w:tcPr>
          <w:p w14:paraId="66AAB542" w14:textId="77777777" w:rsidR="00746499" w:rsidRPr="007E3F70" w:rsidRDefault="00746499" w:rsidP="008774A5">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7E3F70">
              <w:rPr>
                <w:color w:val="000000"/>
                <w:kern w:val="14"/>
                <w:lang w:val="en-GB" w:eastAsia="fr-FR"/>
              </w:rPr>
              <w:t xml:space="preserve">     Annex</w:t>
            </w:r>
          </w:p>
        </w:tc>
        <w:tc>
          <w:tcPr>
            <w:tcW w:w="533" w:type="dxa"/>
            <w:gridSpan w:val="2"/>
            <w:shd w:val="clear" w:color="auto" w:fill="auto"/>
            <w:vAlign w:val="bottom"/>
          </w:tcPr>
          <w:p w14:paraId="3DF8857C" w14:textId="77777777" w:rsidR="00746499" w:rsidRPr="007E3F70" w:rsidRDefault="00746499" w:rsidP="008774A5">
            <w:pPr>
              <w:tabs>
                <w:tab w:val="left" w:pos="1620"/>
              </w:tabs>
              <w:suppressAutoHyphens/>
              <w:spacing w:after="120" w:line="240" w:lineRule="exact"/>
              <w:jc w:val="right"/>
              <w:rPr>
                <w:color w:val="000000"/>
                <w:spacing w:val="4"/>
                <w:w w:val="103"/>
                <w:kern w:val="14"/>
                <w:lang w:val="en-GB" w:eastAsia="fr-FR"/>
              </w:rPr>
            </w:pPr>
          </w:p>
        </w:tc>
      </w:tr>
      <w:tr w:rsidR="00746499" w:rsidRPr="007E3F70" w14:paraId="5BC4E52B" w14:textId="77777777" w:rsidTr="008774A5">
        <w:tc>
          <w:tcPr>
            <w:tcW w:w="9369" w:type="dxa"/>
            <w:gridSpan w:val="2"/>
            <w:shd w:val="clear" w:color="auto" w:fill="auto"/>
          </w:tcPr>
          <w:p w14:paraId="7CFA3C3D" w14:textId="3374A26C" w:rsidR="00746499" w:rsidRPr="007E3F70" w:rsidRDefault="00746499" w:rsidP="00746499">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7E3F70">
              <w:rPr>
                <w:color w:val="000000"/>
                <w:kern w:val="14"/>
                <w:lang w:val="en-GB" w:eastAsia="fr-FR"/>
              </w:rPr>
              <w:t xml:space="preserve">Results and resources framework for </w:t>
            </w:r>
            <w:r>
              <w:rPr>
                <w:color w:val="000000"/>
                <w:kern w:val="14"/>
                <w:lang w:val="en-GB" w:eastAsia="fr-FR"/>
              </w:rPr>
              <w:t>the Republic of Moldova</w:t>
            </w:r>
            <w:r w:rsidRPr="007E3F70">
              <w:rPr>
                <w:color w:val="000000"/>
                <w:kern w:val="14"/>
                <w:lang w:val="en-GB" w:eastAsia="fr-FR"/>
              </w:rPr>
              <w:t xml:space="preserve"> (2018-2022)</w:t>
            </w:r>
            <w:r w:rsidRPr="007E3F70">
              <w:rPr>
                <w:color w:val="000000"/>
                <w:sz w:val="24"/>
                <w:szCs w:val="24"/>
                <w:lang w:val="en-GB" w:eastAsia="fr-FR"/>
              </w:rPr>
              <w:tab/>
            </w:r>
            <w:r>
              <w:rPr>
                <w:color w:val="000000"/>
                <w:lang w:val="en-GB" w:eastAsia="fr-FR"/>
              </w:rPr>
              <w:t>…………………………</w:t>
            </w:r>
          </w:p>
        </w:tc>
        <w:tc>
          <w:tcPr>
            <w:tcW w:w="533" w:type="dxa"/>
            <w:gridSpan w:val="2"/>
            <w:shd w:val="clear" w:color="auto" w:fill="auto"/>
            <w:vAlign w:val="bottom"/>
          </w:tcPr>
          <w:p w14:paraId="26E5DFBC" w14:textId="0DA56C32" w:rsidR="00746499" w:rsidRPr="007E3F70" w:rsidRDefault="00BE51E5" w:rsidP="008774A5">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bl>
    <w:p w14:paraId="3A64D57D" w14:textId="1076A2E6" w:rsidR="00785474" w:rsidRPr="004844C0" w:rsidRDefault="00785474" w:rsidP="00A97B80">
      <w:pPr>
        <w:tabs>
          <w:tab w:val="left" w:pos="2760"/>
        </w:tabs>
        <w:rPr>
          <w:lang w:val="en-GB"/>
        </w:rPr>
      </w:pPr>
    </w:p>
    <w:p w14:paraId="495EE551" w14:textId="763971CE" w:rsidR="00E41EE7" w:rsidRPr="004844C0" w:rsidRDefault="00785474" w:rsidP="00BF1EA1">
      <w:pPr>
        <w:pStyle w:val="Heading2"/>
        <w:numPr>
          <w:ilvl w:val="0"/>
          <w:numId w:val="10"/>
        </w:numPr>
        <w:tabs>
          <w:tab w:val="left" w:pos="1170"/>
        </w:tabs>
        <w:ind w:left="810" w:right="720" w:hanging="270"/>
        <w:jc w:val="both"/>
        <w:rPr>
          <w:rFonts w:ascii="Times New Roman" w:hAnsi="Times New Roman"/>
          <w:bCs/>
          <w:color w:val="000000"/>
          <w:sz w:val="24"/>
          <w:szCs w:val="24"/>
          <w:lang w:val="en-GB"/>
        </w:rPr>
      </w:pPr>
      <w:r w:rsidRPr="004844C0">
        <w:rPr>
          <w:lang w:val="en-GB"/>
        </w:rPr>
        <w:br w:type="page"/>
      </w:r>
      <w:r w:rsidR="0059112A" w:rsidRPr="004844C0">
        <w:rPr>
          <w:rFonts w:ascii="Times New Roman" w:hAnsi="Times New Roman"/>
          <w:bCs/>
          <w:color w:val="000000"/>
          <w:sz w:val="24"/>
          <w:szCs w:val="24"/>
          <w:lang w:val="en-GB"/>
        </w:rPr>
        <w:lastRenderedPageBreak/>
        <w:t xml:space="preserve">Programme </w:t>
      </w:r>
      <w:r w:rsidR="00A97B80">
        <w:rPr>
          <w:rFonts w:ascii="Times New Roman" w:hAnsi="Times New Roman"/>
          <w:bCs/>
          <w:color w:val="000000"/>
          <w:sz w:val="24"/>
          <w:szCs w:val="24"/>
          <w:lang w:val="en-GB"/>
        </w:rPr>
        <w:t>r</w:t>
      </w:r>
      <w:r w:rsidR="00A97B80" w:rsidRPr="004844C0">
        <w:rPr>
          <w:rFonts w:ascii="Times New Roman" w:hAnsi="Times New Roman"/>
          <w:bCs/>
          <w:color w:val="000000"/>
          <w:sz w:val="24"/>
          <w:szCs w:val="24"/>
          <w:lang w:val="en-GB"/>
        </w:rPr>
        <w:t>ationale</w:t>
      </w:r>
    </w:p>
    <w:p w14:paraId="58902426" w14:textId="77777777" w:rsidR="00C540CD" w:rsidRDefault="00C540CD" w:rsidP="00746499">
      <w:pPr>
        <w:pStyle w:val="ListParagraph"/>
        <w:tabs>
          <w:tab w:val="left" w:pos="1170"/>
        </w:tabs>
        <w:ind w:left="810" w:right="720"/>
        <w:jc w:val="both"/>
        <w:rPr>
          <w:lang w:val="en-GB"/>
        </w:rPr>
      </w:pPr>
    </w:p>
    <w:p w14:paraId="5C973FC0" w14:textId="372241DB" w:rsidR="007E3B57" w:rsidRDefault="00A97B80" w:rsidP="00A95A53">
      <w:pPr>
        <w:pStyle w:val="ListParagraph"/>
        <w:numPr>
          <w:ilvl w:val="0"/>
          <w:numId w:val="2"/>
        </w:numPr>
        <w:tabs>
          <w:tab w:val="left" w:pos="1170"/>
        </w:tabs>
        <w:spacing w:after="120"/>
        <w:ind w:left="810" w:right="720" w:firstLine="0"/>
        <w:jc w:val="both"/>
        <w:rPr>
          <w:lang w:val="en-GB"/>
        </w:rPr>
      </w:pPr>
      <w:r>
        <w:rPr>
          <w:lang w:val="en-GB"/>
        </w:rPr>
        <w:t xml:space="preserve">The Republic of </w:t>
      </w:r>
      <w:r w:rsidR="007E3B57" w:rsidRPr="00FE1F81">
        <w:rPr>
          <w:lang w:val="en-GB"/>
        </w:rPr>
        <w:t xml:space="preserve">Moldova is a landlocked, low </w:t>
      </w:r>
      <w:r w:rsidRPr="00FE1F81">
        <w:rPr>
          <w:lang w:val="en-GB"/>
        </w:rPr>
        <w:t>middle</w:t>
      </w:r>
      <w:r>
        <w:rPr>
          <w:lang w:val="en-GB"/>
        </w:rPr>
        <w:t>-</w:t>
      </w:r>
      <w:r w:rsidR="007E3B57" w:rsidRPr="00FE1F81">
        <w:rPr>
          <w:lang w:val="en-GB"/>
        </w:rPr>
        <w:t>income country</w:t>
      </w:r>
      <w:r w:rsidR="007E3B57">
        <w:rPr>
          <w:lang w:val="en-GB"/>
        </w:rPr>
        <w:t xml:space="preserve"> with a population of </w:t>
      </w:r>
      <w:r w:rsidR="00F2365A">
        <w:rPr>
          <w:lang w:val="en-GB"/>
        </w:rPr>
        <w:t>2.9</w:t>
      </w:r>
      <w:r w:rsidR="007E3B57">
        <w:rPr>
          <w:lang w:val="en-GB"/>
        </w:rPr>
        <w:t xml:space="preserve"> million</w:t>
      </w:r>
      <w:r w:rsidR="007E3B57" w:rsidRPr="00FE1F81">
        <w:rPr>
          <w:lang w:val="en-GB"/>
        </w:rPr>
        <w:t xml:space="preserve">. With a per capita </w:t>
      </w:r>
      <w:r>
        <w:rPr>
          <w:lang w:val="en-GB"/>
        </w:rPr>
        <w:t xml:space="preserve">gross domestic </w:t>
      </w:r>
      <w:r w:rsidR="005E52B3">
        <w:rPr>
          <w:lang w:val="en-GB"/>
        </w:rPr>
        <w:t>p</w:t>
      </w:r>
      <w:r w:rsidR="00DD288B">
        <w:rPr>
          <w:lang w:val="en-GB"/>
        </w:rPr>
        <w:t>roduct</w:t>
      </w:r>
      <w:r w:rsidR="00067C22">
        <w:rPr>
          <w:lang w:val="en-GB"/>
        </w:rPr>
        <w:t xml:space="preserve"> (GDP)</w:t>
      </w:r>
      <w:r w:rsidR="00DD288B">
        <w:rPr>
          <w:lang w:val="en-GB"/>
        </w:rPr>
        <w:t xml:space="preserve"> </w:t>
      </w:r>
      <w:r w:rsidR="007E3B57" w:rsidRPr="00FE1F81">
        <w:rPr>
          <w:lang w:val="en-GB"/>
        </w:rPr>
        <w:t>of $1,822</w:t>
      </w:r>
      <w:r w:rsidR="007E3B57">
        <w:rPr>
          <w:rStyle w:val="FootnoteReference"/>
          <w:lang w:val="en-GB"/>
        </w:rPr>
        <w:footnoteReference w:id="1"/>
      </w:r>
      <w:r w:rsidR="007E3B57" w:rsidRPr="00FE1F81">
        <w:rPr>
          <w:lang w:val="en-GB"/>
        </w:rPr>
        <w:t xml:space="preserve"> and a poverty rate of 41.9</w:t>
      </w:r>
      <w:r>
        <w:rPr>
          <w:lang w:val="en-GB"/>
        </w:rPr>
        <w:t xml:space="preserve"> per cent</w:t>
      </w:r>
      <w:r w:rsidRPr="00FE1F81">
        <w:rPr>
          <w:lang w:val="en-GB"/>
        </w:rPr>
        <w:t xml:space="preserve"> </w:t>
      </w:r>
      <w:r w:rsidR="007E3B57" w:rsidRPr="00FE1F81">
        <w:rPr>
          <w:lang w:val="en-GB"/>
        </w:rPr>
        <w:t xml:space="preserve">at $5 </w:t>
      </w:r>
      <w:r>
        <w:rPr>
          <w:lang w:val="en-GB"/>
        </w:rPr>
        <w:t xml:space="preserve">purchasing power parity </w:t>
      </w:r>
      <w:r w:rsidR="007E3B57" w:rsidRPr="00FE1F81">
        <w:rPr>
          <w:lang w:val="en-GB"/>
        </w:rPr>
        <w:t>per day</w:t>
      </w:r>
      <w:r>
        <w:rPr>
          <w:lang w:val="en-GB"/>
        </w:rPr>
        <w:t>,</w:t>
      </w:r>
      <w:r w:rsidR="007E3B57">
        <w:rPr>
          <w:rStyle w:val="FootnoteReference"/>
          <w:lang w:val="en-GB"/>
        </w:rPr>
        <w:footnoteReference w:id="2"/>
      </w:r>
      <w:r w:rsidR="007E3B57" w:rsidRPr="00FE1F81">
        <w:rPr>
          <w:lang w:val="en-GB"/>
        </w:rPr>
        <w:t xml:space="preserve"> </w:t>
      </w:r>
      <w:r w:rsidR="007E3B57">
        <w:rPr>
          <w:lang w:val="en-GB"/>
        </w:rPr>
        <w:t xml:space="preserve">it </w:t>
      </w:r>
      <w:r w:rsidR="007E3B57" w:rsidRPr="00FE1F81">
        <w:rPr>
          <w:lang w:val="en-GB"/>
        </w:rPr>
        <w:t xml:space="preserve">is the poorest </w:t>
      </w:r>
      <w:r w:rsidR="007E3B57">
        <w:rPr>
          <w:lang w:val="en-GB"/>
        </w:rPr>
        <w:t xml:space="preserve">country </w:t>
      </w:r>
      <w:r w:rsidR="007E3B57" w:rsidRPr="00FE1F81">
        <w:rPr>
          <w:lang w:val="en-GB"/>
        </w:rPr>
        <w:t xml:space="preserve">in Europe. </w:t>
      </w:r>
      <w:r w:rsidR="00585E83">
        <w:rPr>
          <w:lang w:val="en-GB"/>
        </w:rPr>
        <w:t xml:space="preserve">However, </w:t>
      </w:r>
      <w:r>
        <w:t xml:space="preserve">the country's </w:t>
      </w:r>
      <w:r w:rsidR="00585E83">
        <w:t>recent growth performance has reduced poverty and promoted shared prosperity</w:t>
      </w:r>
      <w:r w:rsidR="00067C22">
        <w:t xml:space="preserve">; </w:t>
      </w:r>
      <w:r w:rsidR="00585E83">
        <w:t>extreme poverty declined from 7 to 3.1</w:t>
      </w:r>
      <w:r>
        <w:t xml:space="preserve"> per cent </w:t>
      </w:r>
      <w:r w:rsidR="00585E83">
        <w:t>between 2011 and 2013 (W</w:t>
      </w:r>
      <w:r w:rsidR="004952D5">
        <w:t>orld B</w:t>
      </w:r>
      <w:r w:rsidR="00F76CBD">
        <w:t>ank</w:t>
      </w:r>
      <w:r w:rsidR="00585E83">
        <w:t>)</w:t>
      </w:r>
      <w:r w:rsidR="002C125F">
        <w:t>,</w:t>
      </w:r>
      <w:r w:rsidR="00585E83">
        <w:t xml:space="preserve"> and</w:t>
      </w:r>
      <w:r w:rsidR="007E3B57">
        <w:rPr>
          <w:lang w:val="en-GB"/>
        </w:rPr>
        <w:t xml:space="preserve"> </w:t>
      </w:r>
      <w:r>
        <w:rPr>
          <w:lang w:val="en-GB"/>
        </w:rPr>
        <w:t xml:space="preserve">the </w:t>
      </w:r>
      <w:r w:rsidR="00F76CBD">
        <w:rPr>
          <w:lang w:val="en-GB"/>
        </w:rPr>
        <w:t xml:space="preserve">International Monetary </w:t>
      </w:r>
      <w:r w:rsidR="00F76CBD" w:rsidRPr="004952D5">
        <w:rPr>
          <w:lang w:val="en-GB"/>
        </w:rPr>
        <w:t>Fund</w:t>
      </w:r>
      <w:r w:rsidR="000F275E">
        <w:rPr>
          <w:lang w:val="en-GB"/>
        </w:rPr>
        <w:t xml:space="preserve"> </w:t>
      </w:r>
      <w:r w:rsidR="00585E83" w:rsidRPr="004952D5">
        <w:rPr>
          <w:rStyle w:val="Hyperlink"/>
          <w:color w:val="auto"/>
          <w:lang w:val="en-GB"/>
        </w:rPr>
        <w:t xml:space="preserve">projects </w:t>
      </w:r>
      <w:r w:rsidR="007E3B57" w:rsidRPr="004952D5">
        <w:rPr>
          <w:lang w:val="en-GB"/>
        </w:rPr>
        <w:t>4.</w:t>
      </w:r>
      <w:r w:rsidR="007E3B57" w:rsidRPr="00FE1F81">
        <w:rPr>
          <w:lang w:val="en-GB"/>
        </w:rPr>
        <w:t>5 per</w:t>
      </w:r>
      <w:r>
        <w:rPr>
          <w:lang w:val="en-GB"/>
        </w:rPr>
        <w:t xml:space="preserve"> </w:t>
      </w:r>
      <w:r w:rsidR="007E3B57" w:rsidRPr="00FE1F81">
        <w:rPr>
          <w:lang w:val="en-GB"/>
        </w:rPr>
        <w:t>cent</w:t>
      </w:r>
      <w:r w:rsidR="00585E83">
        <w:rPr>
          <w:lang w:val="en-GB"/>
        </w:rPr>
        <w:t xml:space="preserve"> growth in 2017</w:t>
      </w:r>
      <w:r w:rsidR="007E3B57">
        <w:rPr>
          <w:lang w:val="en-GB"/>
        </w:rPr>
        <w:t xml:space="preserve">. </w:t>
      </w:r>
      <w:r w:rsidR="007E3B57" w:rsidRPr="00FE1F81">
        <w:rPr>
          <w:lang w:val="en-GB"/>
        </w:rPr>
        <w:t>The Gini coefficient shows a decreasing trend in income inequality</w:t>
      </w:r>
      <w:r w:rsidR="007A72A0">
        <w:rPr>
          <w:lang w:val="en-GB"/>
        </w:rPr>
        <w:t xml:space="preserve">, </w:t>
      </w:r>
      <w:r>
        <w:rPr>
          <w:lang w:val="en-GB"/>
        </w:rPr>
        <w:t xml:space="preserve">and </w:t>
      </w:r>
      <w:r w:rsidR="002C125F">
        <w:rPr>
          <w:lang w:val="en-GB"/>
        </w:rPr>
        <w:t xml:space="preserve">the </w:t>
      </w:r>
      <w:r w:rsidR="007E164A">
        <w:rPr>
          <w:lang w:val="en-GB"/>
        </w:rPr>
        <w:t>Human Development Index</w:t>
      </w:r>
      <w:r w:rsidR="007E3B57">
        <w:rPr>
          <w:lang w:val="en-GB"/>
        </w:rPr>
        <w:t xml:space="preserve"> in 2016 was </w:t>
      </w:r>
      <w:r w:rsidR="007E3B57" w:rsidRPr="00FE1F81">
        <w:rPr>
          <w:lang w:val="en-GB"/>
        </w:rPr>
        <w:t>0.69</w:t>
      </w:r>
      <w:r w:rsidR="007E3B57">
        <w:rPr>
          <w:lang w:val="en-GB"/>
        </w:rPr>
        <w:t>9</w:t>
      </w:r>
      <w:r w:rsidR="007E3B57" w:rsidRPr="00FE1F81">
        <w:rPr>
          <w:lang w:val="en-GB"/>
        </w:rPr>
        <w:t>.</w:t>
      </w:r>
    </w:p>
    <w:p w14:paraId="077B25DD" w14:textId="1592FBC9" w:rsidR="007E3B57" w:rsidRDefault="007E3B57" w:rsidP="00A95A53">
      <w:pPr>
        <w:pStyle w:val="ListParagraph"/>
        <w:numPr>
          <w:ilvl w:val="0"/>
          <w:numId w:val="2"/>
        </w:numPr>
        <w:tabs>
          <w:tab w:val="left" w:pos="1170"/>
        </w:tabs>
        <w:spacing w:after="120"/>
        <w:ind w:left="810" w:right="720" w:firstLine="0"/>
        <w:jc w:val="both"/>
        <w:rPr>
          <w:lang w:val="en-GB"/>
        </w:rPr>
      </w:pPr>
      <w:r w:rsidRPr="00EA00E5">
        <w:rPr>
          <w:lang w:val="en-GB"/>
        </w:rPr>
        <w:t>The Government is committed to implement</w:t>
      </w:r>
      <w:r w:rsidR="00067C22">
        <w:rPr>
          <w:lang w:val="en-GB"/>
        </w:rPr>
        <w:t>ing</w:t>
      </w:r>
      <w:r w:rsidRPr="00EA00E5">
        <w:rPr>
          <w:lang w:val="en-GB"/>
        </w:rPr>
        <w:t xml:space="preserve"> </w:t>
      </w:r>
      <w:r w:rsidR="002C125F">
        <w:rPr>
          <w:lang w:val="en-GB"/>
        </w:rPr>
        <w:t xml:space="preserve">the </w:t>
      </w:r>
      <w:r w:rsidRPr="00EA00E5">
        <w:rPr>
          <w:lang w:val="en-GB"/>
        </w:rPr>
        <w:t>2030 Agenda</w:t>
      </w:r>
      <w:r>
        <w:rPr>
          <w:lang w:val="en-GB"/>
        </w:rPr>
        <w:t xml:space="preserve"> </w:t>
      </w:r>
      <w:r w:rsidR="00A97B80">
        <w:rPr>
          <w:lang w:val="en-GB"/>
        </w:rPr>
        <w:t xml:space="preserve">for Sustainable Development </w:t>
      </w:r>
      <w:r>
        <w:rPr>
          <w:lang w:val="en-GB"/>
        </w:rPr>
        <w:t xml:space="preserve">and the new National Development Strategy 2030 </w:t>
      </w:r>
      <w:r w:rsidR="00A97B80">
        <w:rPr>
          <w:lang w:val="en-GB"/>
        </w:rPr>
        <w:t xml:space="preserve">is fully aligned </w:t>
      </w:r>
      <w:r>
        <w:rPr>
          <w:lang w:val="en-GB"/>
        </w:rPr>
        <w:t xml:space="preserve">with the </w:t>
      </w:r>
      <w:r w:rsidR="007E164A">
        <w:rPr>
          <w:lang w:val="en-GB"/>
        </w:rPr>
        <w:t>Sustainable Development Goals</w:t>
      </w:r>
      <w:r>
        <w:rPr>
          <w:lang w:val="en-GB"/>
        </w:rPr>
        <w:t xml:space="preserve">. The </w:t>
      </w:r>
      <w:r w:rsidR="00A97B80">
        <w:rPr>
          <w:lang w:val="en-GB"/>
        </w:rPr>
        <w:t xml:space="preserve">Government recognizes the </w:t>
      </w:r>
      <w:r>
        <w:rPr>
          <w:lang w:val="en-GB"/>
        </w:rPr>
        <w:t>need for consolidating policy planning and budgeting framework</w:t>
      </w:r>
      <w:r w:rsidR="00A97B80">
        <w:rPr>
          <w:lang w:val="en-GB"/>
        </w:rPr>
        <w:t>s</w:t>
      </w:r>
      <w:r w:rsidR="007A72A0">
        <w:rPr>
          <w:lang w:val="en-GB"/>
        </w:rPr>
        <w:t xml:space="preserve"> </w:t>
      </w:r>
      <w:r w:rsidR="00C87078">
        <w:rPr>
          <w:lang w:val="en-GB"/>
        </w:rPr>
        <w:t>and</w:t>
      </w:r>
      <w:r w:rsidR="007A72A0">
        <w:rPr>
          <w:lang w:val="en-GB"/>
        </w:rPr>
        <w:t xml:space="preserve"> </w:t>
      </w:r>
      <w:r w:rsidR="00A97B80">
        <w:rPr>
          <w:lang w:val="en-GB"/>
        </w:rPr>
        <w:t xml:space="preserve">for </w:t>
      </w:r>
      <w:r>
        <w:rPr>
          <w:lang w:val="en-GB"/>
        </w:rPr>
        <w:t xml:space="preserve">strengthening horizontal and vertical integration and coordination </w:t>
      </w:r>
      <w:r w:rsidR="00A97B80">
        <w:rPr>
          <w:lang w:val="en-GB"/>
        </w:rPr>
        <w:t xml:space="preserve">and has requested </w:t>
      </w:r>
      <w:r>
        <w:rPr>
          <w:lang w:val="en-GB"/>
        </w:rPr>
        <w:t xml:space="preserve">UNDP support </w:t>
      </w:r>
      <w:r w:rsidR="00C87078">
        <w:rPr>
          <w:lang w:val="en-GB"/>
        </w:rPr>
        <w:t xml:space="preserve">in </w:t>
      </w:r>
      <w:r w:rsidR="00A97B80">
        <w:rPr>
          <w:lang w:val="en-GB"/>
        </w:rPr>
        <w:t>these areas</w:t>
      </w:r>
      <w:r>
        <w:rPr>
          <w:lang w:val="en-GB"/>
        </w:rPr>
        <w:t>.</w:t>
      </w:r>
    </w:p>
    <w:p w14:paraId="4C53F055" w14:textId="54C664ED" w:rsidR="00EA00E5" w:rsidRPr="00F2365A" w:rsidRDefault="00844F9B" w:rsidP="00A95A53">
      <w:pPr>
        <w:pStyle w:val="ListParagraph"/>
        <w:numPr>
          <w:ilvl w:val="0"/>
          <w:numId w:val="2"/>
        </w:numPr>
        <w:tabs>
          <w:tab w:val="left" w:pos="1170"/>
        </w:tabs>
        <w:spacing w:after="120"/>
        <w:ind w:left="810" w:right="720" w:firstLine="0"/>
        <w:jc w:val="both"/>
        <w:rPr>
          <w:color w:val="000000"/>
          <w:lang w:val="en-GB"/>
        </w:rPr>
      </w:pPr>
      <w:r w:rsidRPr="00F2365A">
        <w:rPr>
          <w:bCs/>
          <w:lang w:val="en-GB"/>
        </w:rPr>
        <w:t xml:space="preserve">While European </w:t>
      </w:r>
      <w:r w:rsidR="000E663A" w:rsidRPr="00F2365A">
        <w:rPr>
          <w:bCs/>
          <w:lang w:val="en-GB"/>
        </w:rPr>
        <w:t>aspiration</w:t>
      </w:r>
      <w:r w:rsidR="00C540CD" w:rsidRPr="00F2365A">
        <w:rPr>
          <w:bCs/>
          <w:lang w:val="en-GB"/>
        </w:rPr>
        <w:t>s have</w:t>
      </w:r>
      <w:r w:rsidRPr="00F2365A">
        <w:rPr>
          <w:bCs/>
          <w:lang w:val="en-GB"/>
        </w:rPr>
        <w:t xml:space="preserve"> </w:t>
      </w:r>
      <w:r w:rsidR="00985881" w:rsidRPr="00F2365A">
        <w:rPr>
          <w:bCs/>
          <w:lang w:val="en-GB"/>
        </w:rPr>
        <w:t xml:space="preserve">driven </w:t>
      </w:r>
      <w:r w:rsidRPr="00F2365A">
        <w:rPr>
          <w:bCs/>
          <w:lang w:val="en-GB"/>
        </w:rPr>
        <w:t>the Government’s reform agenda since 2009,</w:t>
      </w:r>
      <w:r w:rsidRPr="00CA13D1">
        <w:rPr>
          <w:rStyle w:val="FootnoteReference"/>
          <w:bCs/>
          <w:lang w:val="en-GB"/>
        </w:rPr>
        <w:footnoteReference w:id="3"/>
      </w:r>
      <w:r w:rsidRPr="00F2365A">
        <w:rPr>
          <w:bCs/>
          <w:lang w:val="en-GB"/>
        </w:rPr>
        <w:t xml:space="preserve"> progress has been uneven, </w:t>
      </w:r>
      <w:r w:rsidRPr="00F2365A">
        <w:rPr>
          <w:lang w:val="en-GB"/>
        </w:rPr>
        <w:t>hampered by political instability</w:t>
      </w:r>
      <w:r w:rsidR="00C65679" w:rsidRPr="00F2365A">
        <w:rPr>
          <w:lang w:val="en-GB"/>
        </w:rPr>
        <w:t xml:space="preserve">, </w:t>
      </w:r>
      <w:r w:rsidR="009B34A2" w:rsidRPr="00F2365A">
        <w:rPr>
          <w:lang w:val="en-GB"/>
        </w:rPr>
        <w:t xml:space="preserve">shrinking </w:t>
      </w:r>
      <w:r w:rsidR="00C65679" w:rsidRPr="00F2365A">
        <w:rPr>
          <w:lang w:val="en-GB"/>
        </w:rPr>
        <w:t>external trade</w:t>
      </w:r>
      <w:r w:rsidR="009B34A2" w:rsidRPr="00F2365A">
        <w:rPr>
          <w:lang w:val="en-GB"/>
        </w:rPr>
        <w:t xml:space="preserve">, </w:t>
      </w:r>
      <w:r w:rsidR="00C65679" w:rsidRPr="00F2365A">
        <w:rPr>
          <w:lang w:val="en-GB"/>
        </w:rPr>
        <w:t xml:space="preserve">currency </w:t>
      </w:r>
      <w:r w:rsidR="009B34A2" w:rsidRPr="00F2365A">
        <w:rPr>
          <w:lang w:val="en-GB"/>
        </w:rPr>
        <w:t xml:space="preserve">devaluation </w:t>
      </w:r>
      <w:r w:rsidRPr="00F2365A">
        <w:rPr>
          <w:lang w:val="en-GB"/>
        </w:rPr>
        <w:t xml:space="preserve">and </w:t>
      </w:r>
      <w:r w:rsidR="001F3525" w:rsidRPr="00F2365A">
        <w:rPr>
          <w:lang w:val="en-GB"/>
        </w:rPr>
        <w:t xml:space="preserve">wide-scale </w:t>
      </w:r>
      <w:r w:rsidRPr="00F2365A">
        <w:rPr>
          <w:lang w:val="en-GB"/>
        </w:rPr>
        <w:t>corruption.</w:t>
      </w:r>
      <w:r w:rsidR="001F3525" w:rsidRPr="00004829">
        <w:rPr>
          <w:rStyle w:val="FootnoteReference"/>
          <w:lang w:val="en-GB"/>
        </w:rPr>
        <w:footnoteReference w:id="4"/>
      </w:r>
      <w:r w:rsidR="007C389A" w:rsidRPr="00F2365A">
        <w:rPr>
          <w:lang w:val="en-GB"/>
        </w:rPr>
        <w:t xml:space="preserve"> The p</w:t>
      </w:r>
      <w:r w:rsidRPr="00F2365A">
        <w:rPr>
          <w:lang w:val="en-GB"/>
        </w:rPr>
        <w:t>ublic service modernization</w:t>
      </w:r>
      <w:r w:rsidRPr="00004829">
        <w:rPr>
          <w:rStyle w:val="FootnoteReference"/>
          <w:lang w:val="en-GB"/>
        </w:rPr>
        <w:footnoteReference w:id="5"/>
      </w:r>
      <w:r w:rsidRPr="00F2365A">
        <w:rPr>
          <w:lang w:val="en-GB"/>
        </w:rPr>
        <w:t xml:space="preserve"> </w:t>
      </w:r>
      <w:r w:rsidR="00317ECB">
        <w:rPr>
          <w:lang w:val="en-GB"/>
        </w:rPr>
        <w:t>is hampered by</w:t>
      </w:r>
      <w:r w:rsidR="00317ECB" w:rsidRPr="00F2365A">
        <w:rPr>
          <w:lang w:val="en-GB"/>
        </w:rPr>
        <w:t xml:space="preserve"> </w:t>
      </w:r>
      <w:r w:rsidRPr="00F2365A">
        <w:rPr>
          <w:lang w:val="en-GB"/>
        </w:rPr>
        <w:t>a fragmented regulatory framework</w:t>
      </w:r>
      <w:r w:rsidR="00CD47C0" w:rsidRPr="00F2365A">
        <w:rPr>
          <w:lang w:val="en-GB"/>
        </w:rPr>
        <w:t>, budgetary limitations</w:t>
      </w:r>
      <w:r w:rsidR="00C65679" w:rsidRPr="00F2365A">
        <w:rPr>
          <w:lang w:val="en-GB"/>
        </w:rPr>
        <w:t xml:space="preserve"> and weak institutional capacity</w:t>
      </w:r>
      <w:r w:rsidRPr="00F2365A">
        <w:rPr>
          <w:lang w:val="en-GB"/>
        </w:rPr>
        <w:t>.</w:t>
      </w:r>
      <w:r w:rsidR="00F94C26" w:rsidRPr="00F2365A">
        <w:rPr>
          <w:lang w:val="en-GB"/>
        </w:rPr>
        <w:t xml:space="preserve"> However, </w:t>
      </w:r>
      <w:r w:rsidR="00AE0CA6">
        <w:rPr>
          <w:lang w:val="en-GB"/>
        </w:rPr>
        <w:t xml:space="preserve">results for Republic of </w:t>
      </w:r>
      <w:r w:rsidR="00F94C26" w:rsidRPr="00F2365A">
        <w:rPr>
          <w:lang w:val="en-GB"/>
        </w:rPr>
        <w:t xml:space="preserve">Moldova in the </w:t>
      </w:r>
      <w:r w:rsidR="00AE0CA6">
        <w:rPr>
          <w:lang w:val="en-GB"/>
        </w:rPr>
        <w:t xml:space="preserve">2016 </w:t>
      </w:r>
      <w:r w:rsidR="00FE07E5">
        <w:rPr>
          <w:lang w:val="en-GB"/>
        </w:rPr>
        <w:t>Human Development Report</w:t>
      </w:r>
      <w:r w:rsidR="00AE0CA6">
        <w:rPr>
          <w:rStyle w:val="FootnoteReference"/>
          <w:lang w:val="en-GB"/>
        </w:rPr>
        <w:footnoteReference w:id="6"/>
      </w:r>
      <w:r w:rsidR="00FE07E5">
        <w:rPr>
          <w:lang w:val="en-GB"/>
        </w:rPr>
        <w:t xml:space="preserve"> </w:t>
      </w:r>
      <w:r w:rsidR="00F94C26" w:rsidRPr="00F2365A">
        <w:rPr>
          <w:lang w:val="en-GB"/>
        </w:rPr>
        <w:t xml:space="preserve">indicate </w:t>
      </w:r>
      <w:r w:rsidR="00AE0CA6">
        <w:rPr>
          <w:lang w:val="en-GB"/>
        </w:rPr>
        <w:t xml:space="preserve">that </w:t>
      </w:r>
      <w:r w:rsidR="00F94C26" w:rsidRPr="00F2365A">
        <w:rPr>
          <w:lang w:val="en-GB"/>
        </w:rPr>
        <w:t xml:space="preserve">service delivery is valued more than politically infused institutions. </w:t>
      </w:r>
    </w:p>
    <w:p w14:paraId="21767F59" w14:textId="40EF4F70" w:rsidR="00F2365A" w:rsidRPr="007E3B57" w:rsidRDefault="005C4B9A" w:rsidP="00A95A53">
      <w:pPr>
        <w:pStyle w:val="ListParagraph"/>
        <w:numPr>
          <w:ilvl w:val="0"/>
          <w:numId w:val="2"/>
        </w:numPr>
        <w:tabs>
          <w:tab w:val="left" w:pos="1170"/>
        </w:tabs>
        <w:spacing w:after="120"/>
        <w:ind w:left="810" w:right="720" w:firstLine="0"/>
        <w:jc w:val="both"/>
        <w:rPr>
          <w:color w:val="000000"/>
          <w:lang w:val="en-GB"/>
        </w:rPr>
      </w:pPr>
      <w:r w:rsidRPr="00EA00E5">
        <w:rPr>
          <w:color w:val="000000"/>
          <w:lang w:val="en-GB"/>
        </w:rPr>
        <w:t>The</w:t>
      </w:r>
      <w:r w:rsidR="007C389A" w:rsidRPr="00EA00E5">
        <w:rPr>
          <w:color w:val="000000"/>
          <w:lang w:val="en-GB"/>
        </w:rPr>
        <w:t xml:space="preserve"> </w:t>
      </w:r>
      <w:r w:rsidR="002B6C7F">
        <w:rPr>
          <w:color w:val="000000"/>
          <w:lang w:val="en-GB"/>
        </w:rPr>
        <w:t xml:space="preserve">continued need for improved </w:t>
      </w:r>
      <w:r w:rsidR="007C389A" w:rsidRPr="00EA00E5">
        <w:rPr>
          <w:color w:val="000000"/>
          <w:lang w:val="en-GB"/>
        </w:rPr>
        <w:t xml:space="preserve">governance, </w:t>
      </w:r>
      <w:r w:rsidRPr="00EA00E5">
        <w:rPr>
          <w:color w:val="000000"/>
          <w:lang w:val="en-GB"/>
        </w:rPr>
        <w:t>low</w:t>
      </w:r>
      <w:r w:rsidR="00844F9B" w:rsidRPr="00EA00E5">
        <w:rPr>
          <w:color w:val="000000"/>
          <w:lang w:val="en-GB"/>
        </w:rPr>
        <w:t xml:space="preserve"> trust in </w:t>
      </w:r>
      <w:r w:rsidR="007E3B57">
        <w:rPr>
          <w:color w:val="000000"/>
          <w:lang w:val="en-GB"/>
        </w:rPr>
        <w:t>public</w:t>
      </w:r>
      <w:r w:rsidR="00803B54" w:rsidRPr="00EA00E5">
        <w:rPr>
          <w:color w:val="000000"/>
          <w:lang w:val="en-GB"/>
        </w:rPr>
        <w:t xml:space="preserve"> </w:t>
      </w:r>
      <w:r w:rsidR="00844F9B" w:rsidRPr="00EA00E5">
        <w:rPr>
          <w:color w:val="000000"/>
          <w:lang w:val="en-GB"/>
        </w:rPr>
        <w:t>institutions</w:t>
      </w:r>
      <w:r w:rsidR="009B34A2" w:rsidRPr="00A66ED3">
        <w:rPr>
          <w:rStyle w:val="FootnoteReference"/>
          <w:color w:val="000000"/>
          <w:lang w:val="en-GB"/>
        </w:rPr>
        <w:footnoteReference w:id="7"/>
      </w:r>
      <w:r w:rsidR="009B34A2" w:rsidRPr="00EA00E5">
        <w:rPr>
          <w:color w:val="000000"/>
          <w:lang w:val="en-GB"/>
        </w:rPr>
        <w:t xml:space="preserve"> </w:t>
      </w:r>
      <w:r w:rsidR="00CD47C0" w:rsidRPr="00EA00E5">
        <w:rPr>
          <w:color w:val="000000"/>
          <w:lang w:val="en-GB"/>
        </w:rPr>
        <w:t>and</w:t>
      </w:r>
      <w:r w:rsidR="00FB1BC4" w:rsidRPr="00EA00E5">
        <w:rPr>
          <w:color w:val="000000"/>
          <w:lang w:val="en-GB"/>
        </w:rPr>
        <w:t xml:space="preserve"> </w:t>
      </w:r>
      <w:r w:rsidR="004F1D9D">
        <w:rPr>
          <w:color w:val="000000"/>
          <w:lang w:val="en-GB"/>
        </w:rPr>
        <w:t xml:space="preserve">challenges to </w:t>
      </w:r>
      <w:r w:rsidR="00FB1BC4" w:rsidRPr="00EA00E5">
        <w:rPr>
          <w:color w:val="000000"/>
          <w:lang w:val="en-GB"/>
        </w:rPr>
        <w:t>social cohesion</w:t>
      </w:r>
      <w:r w:rsidR="002B6C7F">
        <w:rPr>
          <w:color w:val="000000"/>
          <w:lang w:val="en-GB"/>
        </w:rPr>
        <w:t xml:space="preserve"> </w:t>
      </w:r>
      <w:r w:rsidR="00FB1BC4" w:rsidRPr="00EA00E5">
        <w:rPr>
          <w:color w:val="000000"/>
          <w:lang w:val="en-GB"/>
        </w:rPr>
        <w:t xml:space="preserve">are feeding </w:t>
      </w:r>
      <w:r w:rsidR="00844F9B" w:rsidRPr="00EA00E5">
        <w:rPr>
          <w:color w:val="000000"/>
          <w:lang w:val="en-GB"/>
        </w:rPr>
        <w:t xml:space="preserve">deep divides along ethnic and linguistic lines. </w:t>
      </w:r>
      <w:r w:rsidR="004753F6" w:rsidRPr="00EA00E5">
        <w:rPr>
          <w:color w:val="000000"/>
          <w:lang w:val="en-GB"/>
        </w:rPr>
        <w:t>Women and men</w:t>
      </w:r>
      <w:r w:rsidR="00844F9B" w:rsidRPr="00EA00E5">
        <w:rPr>
          <w:color w:val="000000"/>
          <w:lang w:val="en-GB"/>
        </w:rPr>
        <w:t xml:space="preserve">, particularly from </w:t>
      </w:r>
      <w:r w:rsidR="007E3B57">
        <w:rPr>
          <w:color w:val="000000"/>
          <w:lang w:val="en-GB"/>
        </w:rPr>
        <w:t>vulnerable</w:t>
      </w:r>
      <w:r w:rsidR="00844F9B" w:rsidRPr="00EA00E5">
        <w:rPr>
          <w:color w:val="000000"/>
          <w:lang w:val="en-GB"/>
        </w:rPr>
        <w:t xml:space="preserve"> groups, are not able to claim their rights effectively. Young people’s potential is largely untapped, as they </w:t>
      </w:r>
      <w:r w:rsidR="0025412E" w:rsidRPr="00EA00E5">
        <w:rPr>
          <w:color w:val="000000"/>
          <w:lang w:val="en-GB"/>
        </w:rPr>
        <w:t>are reluctant</w:t>
      </w:r>
      <w:r w:rsidR="00844F9B" w:rsidRPr="00EA00E5">
        <w:rPr>
          <w:color w:val="000000"/>
          <w:lang w:val="en-GB"/>
        </w:rPr>
        <w:t xml:space="preserve"> to engage in </w:t>
      </w:r>
      <w:r w:rsidR="007C389A" w:rsidRPr="00EA00E5">
        <w:rPr>
          <w:color w:val="000000"/>
          <w:lang w:val="en-GB"/>
        </w:rPr>
        <w:t>community development</w:t>
      </w:r>
      <w:r w:rsidR="00CB7AD1" w:rsidRPr="00EA00E5">
        <w:rPr>
          <w:color w:val="000000"/>
          <w:lang w:val="en-GB"/>
        </w:rPr>
        <w:t xml:space="preserve">. </w:t>
      </w:r>
      <w:r w:rsidR="00F2365A" w:rsidRPr="007E3B57">
        <w:rPr>
          <w:color w:val="000000"/>
          <w:lang w:val="en-GB"/>
        </w:rPr>
        <w:t>Civil society is not meaningfully included in the public debate</w:t>
      </w:r>
      <w:r w:rsidR="00F2365A">
        <w:rPr>
          <w:color w:val="000000"/>
          <w:lang w:val="en-GB"/>
        </w:rPr>
        <w:t xml:space="preserve">, lacking </w:t>
      </w:r>
      <w:r w:rsidR="002C125F">
        <w:rPr>
          <w:color w:val="000000"/>
          <w:lang w:val="en-GB"/>
        </w:rPr>
        <w:t xml:space="preserve">effective </w:t>
      </w:r>
      <w:r w:rsidR="00F2365A" w:rsidRPr="007E3B57">
        <w:rPr>
          <w:color w:val="000000"/>
          <w:lang w:val="en-GB"/>
        </w:rPr>
        <w:t>means to monitor</w:t>
      </w:r>
      <w:r w:rsidR="00F2365A">
        <w:rPr>
          <w:color w:val="000000"/>
          <w:lang w:val="en-GB"/>
        </w:rPr>
        <w:t xml:space="preserve"> </w:t>
      </w:r>
      <w:r w:rsidR="00067C22">
        <w:rPr>
          <w:color w:val="000000"/>
          <w:lang w:val="en-GB"/>
        </w:rPr>
        <w:t>policy’</w:t>
      </w:r>
      <w:r w:rsidR="00067C22" w:rsidRPr="007E3B57">
        <w:rPr>
          <w:color w:val="000000"/>
          <w:lang w:val="en-GB"/>
        </w:rPr>
        <w:t xml:space="preserve"> </w:t>
      </w:r>
      <w:r w:rsidR="00F2365A" w:rsidRPr="007E3B57">
        <w:rPr>
          <w:color w:val="000000"/>
          <w:lang w:val="en-GB"/>
        </w:rPr>
        <w:t xml:space="preserve">implementation and </w:t>
      </w:r>
      <w:r w:rsidR="00F2365A">
        <w:rPr>
          <w:color w:val="000000"/>
          <w:lang w:val="en-GB"/>
        </w:rPr>
        <w:t xml:space="preserve">to </w:t>
      </w:r>
      <w:r w:rsidR="00F2365A" w:rsidRPr="007E3B57">
        <w:rPr>
          <w:color w:val="000000"/>
          <w:lang w:val="en-GB"/>
        </w:rPr>
        <w:t>exercise accountability checks.</w:t>
      </w:r>
    </w:p>
    <w:p w14:paraId="65E2BDFA" w14:textId="151B722D" w:rsidR="00EA00E5" w:rsidRPr="00EA00E5" w:rsidRDefault="00F85FA6" w:rsidP="00A95A53">
      <w:pPr>
        <w:pStyle w:val="ListParagraph"/>
        <w:numPr>
          <w:ilvl w:val="0"/>
          <w:numId w:val="2"/>
        </w:numPr>
        <w:tabs>
          <w:tab w:val="left" w:pos="1170"/>
        </w:tabs>
        <w:spacing w:after="120"/>
        <w:ind w:left="810" w:right="720" w:firstLine="0"/>
        <w:jc w:val="both"/>
        <w:rPr>
          <w:lang w:val="en-GB"/>
        </w:rPr>
      </w:pPr>
      <w:r>
        <w:rPr>
          <w:color w:val="000000"/>
          <w:lang w:val="en-GB"/>
        </w:rPr>
        <w:t xml:space="preserve">The Republic of </w:t>
      </w:r>
      <w:r w:rsidR="00844F9B" w:rsidRPr="00EA00E5">
        <w:rPr>
          <w:color w:val="000000"/>
          <w:lang w:val="en-GB"/>
        </w:rPr>
        <w:t xml:space="preserve">Moldova faces </w:t>
      </w:r>
      <w:r w:rsidR="004F1D9D">
        <w:rPr>
          <w:color w:val="000000"/>
          <w:lang w:val="en-GB"/>
        </w:rPr>
        <w:t xml:space="preserve">some of </w:t>
      </w:r>
      <w:r w:rsidR="00844F9B" w:rsidRPr="00EA00E5">
        <w:rPr>
          <w:color w:val="000000"/>
          <w:lang w:val="en-GB"/>
        </w:rPr>
        <w:t>the most daunting demographic challenge</w:t>
      </w:r>
      <w:r w:rsidR="004F1D9D">
        <w:rPr>
          <w:color w:val="000000"/>
          <w:lang w:val="en-GB"/>
        </w:rPr>
        <w:t>s</w:t>
      </w:r>
      <w:r w:rsidR="00844F9B" w:rsidRPr="00EA00E5">
        <w:rPr>
          <w:color w:val="000000"/>
          <w:lang w:val="en-GB"/>
        </w:rPr>
        <w:t xml:space="preserve"> </w:t>
      </w:r>
      <w:r w:rsidR="004F1D9D">
        <w:rPr>
          <w:color w:val="000000"/>
          <w:lang w:val="en-GB"/>
        </w:rPr>
        <w:t>in</w:t>
      </w:r>
      <w:r w:rsidR="00844F9B" w:rsidRPr="00EA00E5">
        <w:rPr>
          <w:color w:val="000000"/>
          <w:lang w:val="en-GB"/>
        </w:rPr>
        <w:t xml:space="preserve"> </w:t>
      </w:r>
      <w:r w:rsidR="00C527F3" w:rsidRPr="00EA00E5">
        <w:rPr>
          <w:color w:val="000000"/>
          <w:lang w:val="en-GB"/>
        </w:rPr>
        <w:t>Europe and Central Asia</w:t>
      </w:r>
      <w:r w:rsidR="00844F9B" w:rsidRPr="00EA00E5">
        <w:rPr>
          <w:color w:val="000000"/>
          <w:lang w:val="en-GB"/>
        </w:rPr>
        <w:t>, with the lowest fertility</w:t>
      </w:r>
      <w:r w:rsidR="004F1D9D">
        <w:rPr>
          <w:color w:val="000000"/>
          <w:lang w:val="en-GB"/>
        </w:rPr>
        <w:t xml:space="preserve"> rate</w:t>
      </w:r>
      <w:r w:rsidR="001F3525" w:rsidRPr="00EA00E5">
        <w:rPr>
          <w:color w:val="000000"/>
          <w:lang w:val="en-GB"/>
        </w:rPr>
        <w:t xml:space="preserve">, </w:t>
      </w:r>
      <w:r w:rsidR="004F1D9D">
        <w:rPr>
          <w:color w:val="000000"/>
          <w:lang w:val="en-GB"/>
        </w:rPr>
        <w:t xml:space="preserve">an </w:t>
      </w:r>
      <w:r w:rsidR="001F3525" w:rsidRPr="00EA00E5">
        <w:rPr>
          <w:color w:val="000000"/>
          <w:lang w:val="en-GB"/>
        </w:rPr>
        <w:t>ag</w:t>
      </w:r>
      <w:r w:rsidR="004F1D9D">
        <w:rPr>
          <w:color w:val="000000"/>
          <w:lang w:val="en-GB"/>
        </w:rPr>
        <w:t>e</w:t>
      </w:r>
      <w:r w:rsidR="001F3525" w:rsidRPr="00EA00E5">
        <w:rPr>
          <w:color w:val="000000"/>
          <w:lang w:val="en-GB"/>
        </w:rPr>
        <w:t>ing population</w:t>
      </w:r>
      <w:r w:rsidR="00844F9B" w:rsidRPr="00EA00E5">
        <w:rPr>
          <w:color w:val="000000"/>
          <w:lang w:val="en-GB"/>
        </w:rPr>
        <w:t xml:space="preserve"> and the highest net emigration rate</w:t>
      </w:r>
      <w:r w:rsidR="0025412E" w:rsidRPr="00EA00E5">
        <w:rPr>
          <w:color w:val="000000"/>
          <w:lang w:val="en-GB"/>
        </w:rPr>
        <w:t>,</w:t>
      </w:r>
      <w:r w:rsidR="0025412E" w:rsidRPr="00F93F2C">
        <w:rPr>
          <w:rStyle w:val="FootnoteReference"/>
          <w:color w:val="000000"/>
          <w:lang w:val="en-GB"/>
        </w:rPr>
        <w:footnoteReference w:id="8"/>
      </w:r>
      <w:r w:rsidR="0025412E" w:rsidRPr="00EA00E5">
        <w:rPr>
          <w:color w:val="000000"/>
          <w:lang w:val="en-GB"/>
        </w:rPr>
        <w:t xml:space="preserve"> </w:t>
      </w:r>
      <w:r w:rsidR="004F1D9D">
        <w:rPr>
          <w:color w:val="000000"/>
          <w:lang w:val="en-GB"/>
        </w:rPr>
        <w:t xml:space="preserve">resulting in </w:t>
      </w:r>
      <w:r w:rsidR="004F1D9D" w:rsidRPr="00EA00E5">
        <w:rPr>
          <w:color w:val="000000"/>
          <w:lang w:val="en-GB"/>
        </w:rPr>
        <w:t>deplet</w:t>
      </w:r>
      <w:r w:rsidR="004F1D9D">
        <w:rPr>
          <w:color w:val="000000"/>
          <w:lang w:val="en-GB"/>
        </w:rPr>
        <w:t>ed</w:t>
      </w:r>
      <w:r w:rsidR="004F1D9D" w:rsidRPr="00EA00E5">
        <w:rPr>
          <w:color w:val="000000"/>
          <w:lang w:val="en-GB"/>
        </w:rPr>
        <w:t xml:space="preserve"> </w:t>
      </w:r>
      <w:r w:rsidR="0025412E" w:rsidRPr="00EA00E5">
        <w:rPr>
          <w:color w:val="000000"/>
          <w:lang w:val="en-GB"/>
        </w:rPr>
        <w:t xml:space="preserve">social capital and </w:t>
      </w:r>
      <w:r w:rsidR="002C125F">
        <w:rPr>
          <w:color w:val="000000"/>
          <w:lang w:val="en-GB"/>
        </w:rPr>
        <w:t xml:space="preserve">increasing </w:t>
      </w:r>
      <w:r w:rsidR="0025412E" w:rsidRPr="00EA00E5">
        <w:rPr>
          <w:color w:val="000000"/>
          <w:lang w:val="en-GB"/>
        </w:rPr>
        <w:t>brain</w:t>
      </w:r>
      <w:r w:rsidR="00067C22">
        <w:rPr>
          <w:color w:val="000000"/>
          <w:lang w:val="en-GB"/>
        </w:rPr>
        <w:t xml:space="preserve"> </w:t>
      </w:r>
      <w:r w:rsidR="0025412E" w:rsidRPr="00EA00E5">
        <w:rPr>
          <w:color w:val="000000"/>
          <w:lang w:val="en-GB"/>
        </w:rPr>
        <w:t xml:space="preserve">drain. </w:t>
      </w:r>
      <w:r>
        <w:rPr>
          <w:color w:val="000000"/>
          <w:lang w:val="en-GB"/>
        </w:rPr>
        <w:t xml:space="preserve">The country </w:t>
      </w:r>
      <w:r w:rsidR="00844F9B" w:rsidRPr="00EA00E5">
        <w:rPr>
          <w:color w:val="000000"/>
          <w:lang w:val="en-GB"/>
        </w:rPr>
        <w:t xml:space="preserve">has the lowest employment rate in </w:t>
      </w:r>
      <w:r w:rsidR="00B15741" w:rsidRPr="00EA00E5">
        <w:rPr>
          <w:color w:val="000000"/>
          <w:lang w:val="en-GB"/>
        </w:rPr>
        <w:t xml:space="preserve">Europe, </w:t>
      </w:r>
      <w:r w:rsidR="00B15741">
        <w:rPr>
          <w:color w:val="000000"/>
          <w:lang w:val="en-GB"/>
        </w:rPr>
        <w:t>particularly</w:t>
      </w:r>
      <w:r w:rsidR="00796D7C">
        <w:rPr>
          <w:color w:val="000000"/>
          <w:lang w:val="en-GB"/>
        </w:rPr>
        <w:t xml:space="preserve"> </w:t>
      </w:r>
      <w:r w:rsidR="002C125F">
        <w:rPr>
          <w:color w:val="000000"/>
          <w:lang w:val="en-GB"/>
        </w:rPr>
        <w:t>in</w:t>
      </w:r>
      <w:r w:rsidR="00844F9B" w:rsidRPr="00EA00E5">
        <w:rPr>
          <w:color w:val="000000"/>
          <w:lang w:val="en-GB"/>
        </w:rPr>
        <w:t xml:space="preserve"> rural areas</w:t>
      </w:r>
      <w:r w:rsidR="002C125F">
        <w:rPr>
          <w:color w:val="000000"/>
          <w:lang w:val="en-GB"/>
        </w:rPr>
        <w:t>. Employ</w:t>
      </w:r>
      <w:r w:rsidR="00796D7C">
        <w:rPr>
          <w:color w:val="000000"/>
          <w:lang w:val="en-GB"/>
        </w:rPr>
        <w:t>ment for wo</w:t>
      </w:r>
      <w:r w:rsidR="00C87078">
        <w:rPr>
          <w:color w:val="000000"/>
          <w:lang w:val="en-GB"/>
        </w:rPr>
        <w:t>men is</w:t>
      </w:r>
      <w:r w:rsidR="00796D7C">
        <w:rPr>
          <w:color w:val="000000"/>
          <w:lang w:val="en-GB"/>
        </w:rPr>
        <w:t xml:space="preserve"> low and the</w:t>
      </w:r>
      <w:r w:rsidR="005C4B9A" w:rsidRPr="00EA00E5">
        <w:rPr>
          <w:color w:val="000000"/>
          <w:lang w:val="en-GB"/>
        </w:rPr>
        <w:t xml:space="preserve"> </w:t>
      </w:r>
      <w:r w:rsidR="00844F9B" w:rsidRPr="00EA00E5">
        <w:rPr>
          <w:color w:val="000000"/>
          <w:lang w:val="en-GB"/>
        </w:rPr>
        <w:t>gender wage gap</w:t>
      </w:r>
      <w:r w:rsidR="005C4B9A" w:rsidRPr="00EA00E5">
        <w:rPr>
          <w:color w:val="000000"/>
          <w:lang w:val="en-GB"/>
        </w:rPr>
        <w:t xml:space="preserve"> is</w:t>
      </w:r>
      <w:r w:rsidR="0025412E" w:rsidRPr="00EA00E5">
        <w:rPr>
          <w:color w:val="000000"/>
          <w:lang w:val="en-GB"/>
        </w:rPr>
        <w:t xml:space="preserve"> </w:t>
      </w:r>
      <w:r w:rsidR="005C4B9A" w:rsidRPr="00EA00E5">
        <w:rPr>
          <w:color w:val="000000"/>
          <w:lang w:val="en-GB"/>
        </w:rPr>
        <w:t>significant</w:t>
      </w:r>
      <w:r w:rsidR="00844F9B" w:rsidRPr="00EA00E5">
        <w:rPr>
          <w:color w:val="000000"/>
          <w:lang w:val="en-GB"/>
        </w:rPr>
        <w:t xml:space="preserve"> (13.2 per</w:t>
      </w:r>
      <w:r w:rsidR="0079542E">
        <w:rPr>
          <w:color w:val="000000"/>
          <w:lang w:val="en-GB"/>
        </w:rPr>
        <w:t xml:space="preserve"> </w:t>
      </w:r>
      <w:r w:rsidR="00844F9B" w:rsidRPr="00EA00E5">
        <w:rPr>
          <w:color w:val="000000"/>
          <w:lang w:val="en-GB"/>
        </w:rPr>
        <w:t>cent in 2015)</w:t>
      </w:r>
      <w:r w:rsidR="0025412E" w:rsidRPr="00EA00E5">
        <w:rPr>
          <w:color w:val="000000"/>
          <w:lang w:val="en-GB"/>
        </w:rPr>
        <w:t xml:space="preserve">. The employment rate </w:t>
      </w:r>
      <w:r w:rsidR="0079542E">
        <w:rPr>
          <w:color w:val="000000"/>
          <w:lang w:val="en-GB"/>
        </w:rPr>
        <w:t xml:space="preserve">for Roma </w:t>
      </w:r>
      <w:r w:rsidR="00844F9B" w:rsidRPr="00EA00E5">
        <w:rPr>
          <w:color w:val="000000"/>
          <w:lang w:val="en-GB"/>
        </w:rPr>
        <w:t>is</w:t>
      </w:r>
      <w:r w:rsidR="00FB1BC4" w:rsidRPr="00EA00E5">
        <w:rPr>
          <w:color w:val="000000"/>
          <w:lang w:val="en-GB"/>
        </w:rPr>
        <w:t xml:space="preserve"> </w:t>
      </w:r>
      <w:r w:rsidR="00803B54" w:rsidRPr="00EA00E5">
        <w:rPr>
          <w:color w:val="000000"/>
          <w:lang w:val="en-GB"/>
        </w:rPr>
        <w:t xml:space="preserve">half </w:t>
      </w:r>
      <w:r w:rsidR="0025412E" w:rsidRPr="00EA00E5">
        <w:rPr>
          <w:color w:val="000000"/>
          <w:lang w:val="en-GB"/>
        </w:rPr>
        <w:t xml:space="preserve">that </w:t>
      </w:r>
      <w:r w:rsidR="00067C22">
        <w:rPr>
          <w:color w:val="000000"/>
          <w:lang w:val="en-GB"/>
        </w:rPr>
        <w:t>of</w:t>
      </w:r>
      <w:r w:rsidR="00067C22" w:rsidRPr="00EA00E5">
        <w:rPr>
          <w:color w:val="000000"/>
          <w:lang w:val="en-GB"/>
        </w:rPr>
        <w:t xml:space="preserve"> </w:t>
      </w:r>
      <w:r w:rsidR="0025412E" w:rsidRPr="00EA00E5">
        <w:rPr>
          <w:color w:val="000000"/>
          <w:lang w:val="en-GB"/>
        </w:rPr>
        <w:t>other demographic groups</w:t>
      </w:r>
      <w:r w:rsidR="00803B54" w:rsidRPr="00EA00E5">
        <w:rPr>
          <w:color w:val="000000"/>
          <w:lang w:val="en-GB"/>
        </w:rPr>
        <w:t>.</w:t>
      </w:r>
      <w:r w:rsidR="00803B54">
        <w:rPr>
          <w:rStyle w:val="FootnoteReference"/>
          <w:color w:val="000000"/>
          <w:lang w:val="en-GB"/>
        </w:rPr>
        <w:footnoteReference w:id="9"/>
      </w:r>
      <w:r w:rsidR="00803B54" w:rsidRPr="00EA00E5">
        <w:rPr>
          <w:color w:val="000000"/>
          <w:lang w:val="en-GB"/>
        </w:rPr>
        <w:t xml:space="preserve"> </w:t>
      </w:r>
    </w:p>
    <w:p w14:paraId="612F1CC4" w14:textId="53EABD4C" w:rsidR="004A559E" w:rsidRPr="004A559E" w:rsidRDefault="00B538D2" w:rsidP="00A95A53">
      <w:pPr>
        <w:pStyle w:val="ListParagraph"/>
        <w:numPr>
          <w:ilvl w:val="0"/>
          <w:numId w:val="2"/>
        </w:numPr>
        <w:tabs>
          <w:tab w:val="left" w:pos="1170"/>
        </w:tabs>
        <w:spacing w:after="120"/>
        <w:ind w:left="810" w:right="720" w:firstLine="0"/>
        <w:jc w:val="both"/>
        <w:rPr>
          <w:lang w:val="en-GB"/>
        </w:rPr>
      </w:pPr>
      <w:r w:rsidRPr="00EA00E5">
        <w:rPr>
          <w:color w:val="000000"/>
        </w:rPr>
        <w:t xml:space="preserve">Reforms aimed at </w:t>
      </w:r>
      <w:r w:rsidR="004753F6" w:rsidRPr="00EA00E5">
        <w:rPr>
          <w:color w:val="000000"/>
        </w:rPr>
        <w:t>growth</w:t>
      </w:r>
      <w:r w:rsidR="005C4B9A" w:rsidRPr="00EA00E5">
        <w:rPr>
          <w:color w:val="000000"/>
        </w:rPr>
        <w:t xml:space="preserve"> and employment are hampered by</w:t>
      </w:r>
      <w:r w:rsidR="007C389A" w:rsidRPr="00EA00E5">
        <w:rPr>
          <w:color w:val="000000"/>
        </w:rPr>
        <w:t xml:space="preserve"> a</w:t>
      </w:r>
      <w:r w:rsidR="005C4B9A" w:rsidRPr="00EA00E5">
        <w:rPr>
          <w:color w:val="000000"/>
        </w:rPr>
        <w:t xml:space="preserve"> suboptimal regulatory framework and limit</w:t>
      </w:r>
      <w:r w:rsidR="00FB1BC4" w:rsidRPr="00EA00E5">
        <w:rPr>
          <w:color w:val="000000"/>
        </w:rPr>
        <w:t>ed access to economic opportunities</w:t>
      </w:r>
      <w:r w:rsidR="005C4B9A" w:rsidRPr="00EA00E5">
        <w:rPr>
          <w:color w:val="000000"/>
        </w:rPr>
        <w:t>.</w:t>
      </w:r>
      <w:r w:rsidR="00B472DE" w:rsidRPr="00EA00E5">
        <w:rPr>
          <w:color w:val="000000"/>
        </w:rPr>
        <w:t xml:space="preserve"> </w:t>
      </w:r>
      <w:r w:rsidR="00B46C85" w:rsidRPr="00EA00E5">
        <w:rPr>
          <w:color w:val="000000"/>
        </w:rPr>
        <w:t>The growth model is driven by non-labo</w:t>
      </w:r>
      <w:r w:rsidR="0079542E">
        <w:rPr>
          <w:color w:val="000000"/>
        </w:rPr>
        <w:t>u</w:t>
      </w:r>
      <w:r w:rsidR="00B46C85" w:rsidRPr="00EA00E5">
        <w:rPr>
          <w:color w:val="000000"/>
        </w:rPr>
        <w:t>r income (social benefits, pensions, remittances), especially for the bottom quintile;</w:t>
      </w:r>
      <w:r w:rsidR="00B46C85">
        <w:rPr>
          <w:rStyle w:val="FootnoteReference"/>
          <w:color w:val="000000"/>
        </w:rPr>
        <w:footnoteReference w:id="10"/>
      </w:r>
      <w:r w:rsidR="00B46C85" w:rsidRPr="00EA00E5">
        <w:rPr>
          <w:color w:val="000000"/>
        </w:rPr>
        <w:t xml:space="preserve"> hence, their vulnerability is greatest and the labo</w:t>
      </w:r>
      <w:r w:rsidR="0079542E">
        <w:rPr>
          <w:color w:val="000000"/>
        </w:rPr>
        <w:t>u</w:t>
      </w:r>
      <w:r w:rsidR="00B46C85" w:rsidRPr="00EA00E5">
        <w:rPr>
          <w:color w:val="000000"/>
        </w:rPr>
        <w:t>r market is unable to integrate those who need it most.</w:t>
      </w:r>
      <w:r w:rsidR="00B46C85" w:rsidRPr="00EA00E5">
        <w:rPr>
          <w:color w:val="000000"/>
          <w:lang w:val="en-GB"/>
        </w:rPr>
        <w:t xml:space="preserve"> Women entrepreneurs face </w:t>
      </w:r>
      <w:r w:rsidR="00291A73" w:rsidRPr="00EA00E5">
        <w:rPr>
          <w:color w:val="000000"/>
          <w:lang w:val="en-GB"/>
        </w:rPr>
        <w:t>traditional</w:t>
      </w:r>
      <w:r w:rsidR="00291A73" w:rsidRPr="00300BA5">
        <w:t xml:space="preserve"> barriers, </w:t>
      </w:r>
      <w:r w:rsidR="00291A73">
        <w:t xml:space="preserve">reducing their </w:t>
      </w:r>
      <w:r w:rsidR="00291A73" w:rsidRPr="00300BA5">
        <w:t xml:space="preserve">potential contribution to growth. </w:t>
      </w:r>
      <w:r w:rsidR="00844F9B" w:rsidRPr="00EA00E5">
        <w:rPr>
          <w:color w:val="000000"/>
          <w:lang w:val="en-GB"/>
        </w:rPr>
        <w:t>The ur</w:t>
      </w:r>
      <w:r w:rsidR="00803B54" w:rsidRPr="00EA00E5">
        <w:rPr>
          <w:color w:val="000000"/>
          <w:lang w:val="en-GB"/>
        </w:rPr>
        <w:t>ban–rural divide has deepened</w:t>
      </w:r>
      <w:r w:rsidR="0079542E">
        <w:rPr>
          <w:color w:val="000000"/>
          <w:lang w:val="en-GB"/>
        </w:rPr>
        <w:t>,</w:t>
      </w:r>
      <w:r w:rsidR="00803B54" w:rsidRPr="00EA00E5">
        <w:rPr>
          <w:color w:val="000000"/>
          <w:lang w:val="en-GB"/>
        </w:rPr>
        <w:t xml:space="preserve"> with 86 </w:t>
      </w:r>
      <w:r w:rsidR="008C3E7B" w:rsidRPr="00EA00E5">
        <w:rPr>
          <w:color w:val="000000"/>
          <w:lang w:val="en-GB"/>
        </w:rPr>
        <w:t>per</w:t>
      </w:r>
      <w:r w:rsidR="0079542E">
        <w:rPr>
          <w:color w:val="000000"/>
          <w:lang w:val="en-GB"/>
        </w:rPr>
        <w:t xml:space="preserve"> </w:t>
      </w:r>
      <w:r w:rsidR="008C3E7B" w:rsidRPr="00EA00E5">
        <w:rPr>
          <w:color w:val="000000"/>
          <w:lang w:val="en-GB"/>
        </w:rPr>
        <w:t>cent</w:t>
      </w:r>
      <w:r w:rsidR="00844F9B" w:rsidRPr="00EA00E5">
        <w:rPr>
          <w:color w:val="000000"/>
          <w:lang w:val="en-GB"/>
        </w:rPr>
        <w:t xml:space="preserve"> of the country’s poor residing in rural areas in 2015</w:t>
      </w:r>
      <w:r w:rsidR="00CF4E4E">
        <w:rPr>
          <w:color w:val="000000"/>
          <w:lang w:val="en-GB"/>
        </w:rPr>
        <w:t>,</w:t>
      </w:r>
      <w:r w:rsidR="00C527F3" w:rsidRPr="00EA00E5">
        <w:rPr>
          <w:color w:val="000000"/>
          <w:lang w:val="en-GB"/>
        </w:rPr>
        <w:t xml:space="preserve"> </w:t>
      </w:r>
      <w:r w:rsidR="00BD65C7">
        <w:rPr>
          <w:color w:val="000000"/>
          <w:lang w:val="en-GB"/>
        </w:rPr>
        <w:t>while the</w:t>
      </w:r>
      <w:r w:rsidR="00C527F3" w:rsidRPr="00EA00E5">
        <w:rPr>
          <w:color w:val="000000"/>
          <w:lang w:val="en-GB"/>
        </w:rPr>
        <w:t xml:space="preserve"> income </w:t>
      </w:r>
      <w:r w:rsidR="00CF4E4E">
        <w:rPr>
          <w:color w:val="000000"/>
          <w:lang w:val="en-GB"/>
        </w:rPr>
        <w:t xml:space="preserve">gap </w:t>
      </w:r>
      <w:r w:rsidR="00C527F3" w:rsidRPr="00EA00E5">
        <w:rPr>
          <w:color w:val="000000"/>
          <w:lang w:val="en-GB"/>
        </w:rPr>
        <w:t>and living conditions</w:t>
      </w:r>
      <w:r w:rsidR="00BD65C7">
        <w:rPr>
          <w:color w:val="000000"/>
          <w:lang w:val="en-GB"/>
        </w:rPr>
        <w:t xml:space="preserve"> </w:t>
      </w:r>
      <w:r w:rsidR="0079542E">
        <w:rPr>
          <w:color w:val="000000"/>
          <w:lang w:val="en-GB"/>
        </w:rPr>
        <w:t xml:space="preserve">have </w:t>
      </w:r>
      <w:r w:rsidR="00BD65C7">
        <w:rPr>
          <w:color w:val="000000"/>
          <w:lang w:val="en-GB"/>
        </w:rPr>
        <w:t>widened</w:t>
      </w:r>
      <w:r w:rsidR="001F3525" w:rsidRPr="00EA00E5">
        <w:rPr>
          <w:color w:val="000000"/>
          <w:lang w:val="en-GB"/>
        </w:rPr>
        <w:t>,</w:t>
      </w:r>
      <w:r w:rsidR="00844F9B" w:rsidRPr="00EA00E5">
        <w:rPr>
          <w:color w:val="000000"/>
          <w:lang w:val="en-GB"/>
        </w:rPr>
        <w:t xml:space="preserve"> </w:t>
      </w:r>
      <w:r w:rsidR="001F3525" w:rsidRPr="00EA00E5">
        <w:rPr>
          <w:color w:val="000000"/>
          <w:lang w:val="en-GB"/>
        </w:rPr>
        <w:t xml:space="preserve">driven by </w:t>
      </w:r>
      <w:r w:rsidR="00CF4E4E">
        <w:rPr>
          <w:color w:val="000000"/>
          <w:lang w:val="en-GB"/>
        </w:rPr>
        <w:t xml:space="preserve">the </w:t>
      </w:r>
      <w:r w:rsidR="001F3525" w:rsidRPr="00EA00E5">
        <w:rPr>
          <w:color w:val="000000"/>
          <w:lang w:val="en-GB"/>
        </w:rPr>
        <w:t xml:space="preserve">country’s </w:t>
      </w:r>
      <w:r w:rsidR="0025412E" w:rsidRPr="00EA00E5">
        <w:rPr>
          <w:color w:val="000000"/>
          <w:lang w:val="en-GB"/>
        </w:rPr>
        <w:t>territorial</w:t>
      </w:r>
      <w:r w:rsidR="001F3525" w:rsidRPr="00EA00E5">
        <w:rPr>
          <w:color w:val="000000"/>
          <w:lang w:val="en-GB"/>
        </w:rPr>
        <w:t xml:space="preserve"> fragmentation. </w:t>
      </w:r>
    </w:p>
    <w:p w14:paraId="37EBA403" w14:textId="3736CB68" w:rsidR="004A559E" w:rsidRDefault="00067C22" w:rsidP="00A95A53">
      <w:pPr>
        <w:pStyle w:val="ListParagraph"/>
        <w:numPr>
          <w:ilvl w:val="0"/>
          <w:numId w:val="2"/>
        </w:numPr>
        <w:tabs>
          <w:tab w:val="left" w:pos="1170"/>
        </w:tabs>
        <w:spacing w:after="120"/>
        <w:ind w:left="810" w:right="720" w:firstLine="0"/>
        <w:jc w:val="both"/>
        <w:rPr>
          <w:lang w:val="en-GB"/>
        </w:rPr>
      </w:pPr>
      <w:r>
        <w:rPr>
          <w:rFonts w:eastAsiaTheme="minorEastAsia"/>
          <w:color w:val="000000"/>
          <w:lang w:val="en-GB"/>
        </w:rPr>
        <w:lastRenderedPageBreak/>
        <w:t xml:space="preserve">Although </w:t>
      </w:r>
      <w:r>
        <w:rPr>
          <w:lang w:val="en-GB"/>
        </w:rPr>
        <w:t xml:space="preserve">Republic of </w:t>
      </w:r>
      <w:r w:rsidRPr="004A559E">
        <w:rPr>
          <w:lang w:val="en-GB"/>
        </w:rPr>
        <w:t>Moldova ranks 26 of 145</w:t>
      </w:r>
      <w:r>
        <w:rPr>
          <w:lang w:val="en-GB"/>
        </w:rPr>
        <w:t xml:space="preserve"> </w:t>
      </w:r>
      <w:r w:rsidR="00620F18">
        <w:rPr>
          <w:lang w:val="en-GB"/>
        </w:rPr>
        <w:t>countries</w:t>
      </w:r>
      <w:r w:rsidR="00620F18" w:rsidRPr="004A559E">
        <w:rPr>
          <w:rFonts w:eastAsiaTheme="minorEastAsia"/>
          <w:color w:val="000000"/>
          <w:lang w:val="en-GB"/>
        </w:rPr>
        <w:t xml:space="preserve"> </w:t>
      </w:r>
      <w:r w:rsidR="00620F18">
        <w:rPr>
          <w:rFonts w:eastAsiaTheme="minorEastAsia"/>
          <w:color w:val="000000"/>
          <w:lang w:val="en-GB"/>
        </w:rPr>
        <w:t>in</w:t>
      </w:r>
      <w:r w:rsidRPr="004A559E">
        <w:rPr>
          <w:rFonts w:eastAsiaTheme="minorEastAsia"/>
          <w:color w:val="000000"/>
          <w:lang w:val="en-GB"/>
        </w:rPr>
        <w:t xml:space="preserve"> </w:t>
      </w:r>
      <w:r w:rsidR="0025412E" w:rsidRPr="004A559E">
        <w:rPr>
          <w:lang w:val="en-GB"/>
        </w:rPr>
        <w:t xml:space="preserve">the </w:t>
      </w:r>
      <w:hyperlink r:id="rId12" w:history="1">
        <w:r w:rsidR="0025412E" w:rsidRPr="004A559E">
          <w:rPr>
            <w:rStyle w:val="Hyperlink"/>
            <w:lang w:val="en-GB"/>
          </w:rPr>
          <w:t>Global Gender Equality Index</w:t>
        </w:r>
      </w:hyperlink>
      <w:r w:rsidR="00620F18" w:rsidRPr="004A559E">
        <w:rPr>
          <w:lang w:val="en-GB"/>
        </w:rPr>
        <w:t>, women</w:t>
      </w:r>
      <w:r w:rsidR="0025412E" w:rsidRPr="004A559E">
        <w:rPr>
          <w:color w:val="000000"/>
          <w:lang w:val="en-GB"/>
        </w:rPr>
        <w:t xml:space="preserve"> are significantly underrepresented in decision-making positions,</w:t>
      </w:r>
      <w:r w:rsidR="0025412E" w:rsidRPr="004844C0">
        <w:rPr>
          <w:vertAlign w:val="superscript"/>
          <w:lang w:val="en-GB"/>
        </w:rPr>
        <w:footnoteReference w:id="11"/>
      </w:r>
      <w:r w:rsidR="0025412E" w:rsidRPr="004A559E">
        <w:rPr>
          <w:color w:val="000000"/>
          <w:lang w:val="en-GB"/>
        </w:rPr>
        <w:t xml:space="preserve"> with </w:t>
      </w:r>
      <w:r>
        <w:rPr>
          <w:color w:val="000000"/>
          <w:lang w:val="en-GB"/>
        </w:rPr>
        <w:t xml:space="preserve">prevalent </w:t>
      </w:r>
      <w:r w:rsidR="0025412E" w:rsidRPr="004A559E">
        <w:rPr>
          <w:lang w:val="en-GB"/>
        </w:rPr>
        <w:t>patriarchal norms and gender stereotypes</w:t>
      </w:r>
      <w:r w:rsidR="0025412E" w:rsidRPr="004844C0">
        <w:rPr>
          <w:rFonts w:eastAsia="Batang"/>
          <w:vertAlign w:val="superscript"/>
          <w:lang w:val="en-GB" w:eastAsia="ko-KR"/>
        </w:rPr>
        <w:footnoteReference w:id="12"/>
      </w:r>
      <w:r w:rsidR="0025412E" w:rsidRPr="004A559E">
        <w:rPr>
          <w:lang w:val="en-GB"/>
        </w:rPr>
        <w:t xml:space="preserve"> resulting in persistent gender inequalities. Gender-based violence is widespread</w:t>
      </w:r>
      <w:r>
        <w:rPr>
          <w:lang w:val="en-GB"/>
        </w:rPr>
        <w:t xml:space="preserve"> and</w:t>
      </w:r>
      <w:r w:rsidR="0025412E" w:rsidRPr="004A559E">
        <w:rPr>
          <w:lang w:val="en-GB"/>
        </w:rPr>
        <w:t xml:space="preserve"> state institutions </w:t>
      </w:r>
      <w:r>
        <w:rPr>
          <w:lang w:val="en-GB"/>
        </w:rPr>
        <w:t xml:space="preserve">are </w:t>
      </w:r>
      <w:r w:rsidR="0025412E" w:rsidRPr="004A559E">
        <w:rPr>
          <w:lang w:val="en-GB"/>
        </w:rPr>
        <w:t>ill-equipped to address this</w:t>
      </w:r>
      <w:r w:rsidR="00796D7C">
        <w:rPr>
          <w:lang w:val="en-GB"/>
        </w:rPr>
        <w:t xml:space="preserve"> issue</w:t>
      </w:r>
      <w:r w:rsidR="0025412E" w:rsidRPr="004A559E">
        <w:rPr>
          <w:lang w:val="en-GB"/>
        </w:rPr>
        <w:t>.</w:t>
      </w:r>
      <w:r w:rsidR="0025412E" w:rsidRPr="004844C0">
        <w:rPr>
          <w:vertAlign w:val="superscript"/>
          <w:lang w:val="en-GB"/>
        </w:rPr>
        <w:footnoteReference w:id="13"/>
      </w:r>
      <w:r w:rsidR="0025412E" w:rsidRPr="004A559E">
        <w:rPr>
          <w:lang w:val="en-GB"/>
        </w:rPr>
        <w:t xml:space="preserve"> </w:t>
      </w:r>
    </w:p>
    <w:p w14:paraId="2517141E" w14:textId="5F024F82" w:rsidR="004A559E" w:rsidRDefault="00F85FA6" w:rsidP="00A95A53">
      <w:pPr>
        <w:pStyle w:val="ListParagraph"/>
        <w:numPr>
          <w:ilvl w:val="0"/>
          <w:numId w:val="2"/>
        </w:numPr>
        <w:tabs>
          <w:tab w:val="left" w:pos="1170"/>
        </w:tabs>
        <w:spacing w:after="120"/>
        <w:ind w:left="810" w:right="720" w:firstLine="0"/>
        <w:jc w:val="both"/>
        <w:rPr>
          <w:lang w:val="en-GB"/>
        </w:rPr>
      </w:pPr>
      <w:r>
        <w:rPr>
          <w:color w:val="000000"/>
          <w:lang w:val="en-GB"/>
        </w:rPr>
        <w:t xml:space="preserve">The country </w:t>
      </w:r>
      <w:r w:rsidR="0079542E">
        <w:rPr>
          <w:color w:val="000000"/>
          <w:lang w:val="en-GB"/>
        </w:rPr>
        <w:t>has</w:t>
      </w:r>
      <w:r w:rsidR="0079542E" w:rsidRPr="004A559E">
        <w:rPr>
          <w:color w:val="000000"/>
          <w:lang w:val="en-GB"/>
        </w:rPr>
        <w:t xml:space="preserve"> </w:t>
      </w:r>
      <w:r w:rsidR="00844F9B" w:rsidRPr="004A559E">
        <w:rPr>
          <w:color w:val="000000"/>
          <w:lang w:val="en-GB"/>
        </w:rPr>
        <w:t xml:space="preserve">one of the most carbon- and energy-intensive economies in the </w:t>
      </w:r>
      <w:r w:rsidR="00C527F3" w:rsidRPr="004A559E">
        <w:rPr>
          <w:color w:val="000000"/>
          <w:lang w:val="en-GB"/>
        </w:rPr>
        <w:t>region</w:t>
      </w:r>
      <w:r w:rsidR="0079542E">
        <w:rPr>
          <w:color w:val="000000"/>
          <w:lang w:val="en-GB"/>
        </w:rPr>
        <w:t>,</w:t>
      </w:r>
      <w:r w:rsidR="00C527F3" w:rsidRPr="004A559E">
        <w:rPr>
          <w:color w:val="000000"/>
          <w:lang w:val="en-GB"/>
        </w:rPr>
        <w:t xml:space="preserve"> </w:t>
      </w:r>
      <w:r w:rsidR="00844F9B" w:rsidRPr="004A559E">
        <w:rPr>
          <w:color w:val="000000"/>
          <w:lang w:val="en-GB"/>
        </w:rPr>
        <w:t xml:space="preserve">with energy </w:t>
      </w:r>
      <w:r w:rsidR="00CF4E4E">
        <w:rPr>
          <w:color w:val="000000"/>
          <w:lang w:val="en-GB"/>
        </w:rPr>
        <w:t>usage</w:t>
      </w:r>
      <w:r w:rsidR="00CF4E4E" w:rsidRPr="004A559E">
        <w:rPr>
          <w:color w:val="000000"/>
          <w:lang w:val="en-GB"/>
        </w:rPr>
        <w:t xml:space="preserve"> </w:t>
      </w:r>
      <w:r w:rsidR="00844F9B" w:rsidRPr="004A559E">
        <w:rPr>
          <w:color w:val="000000"/>
          <w:lang w:val="en-GB"/>
        </w:rPr>
        <w:t>twice the E</w:t>
      </w:r>
      <w:r w:rsidR="0079542E">
        <w:rPr>
          <w:color w:val="000000"/>
          <w:lang w:val="en-GB"/>
        </w:rPr>
        <w:t xml:space="preserve">uropean </w:t>
      </w:r>
      <w:r w:rsidR="00844F9B" w:rsidRPr="004A559E">
        <w:rPr>
          <w:color w:val="000000"/>
          <w:lang w:val="en-GB"/>
        </w:rPr>
        <w:t>U</w:t>
      </w:r>
      <w:r w:rsidR="0079542E">
        <w:rPr>
          <w:color w:val="000000"/>
          <w:lang w:val="en-GB"/>
        </w:rPr>
        <w:t>nion</w:t>
      </w:r>
      <w:r w:rsidR="00844F9B" w:rsidRPr="004A559E">
        <w:rPr>
          <w:color w:val="000000"/>
          <w:lang w:val="en-GB"/>
        </w:rPr>
        <w:t xml:space="preserve"> </w:t>
      </w:r>
      <w:r w:rsidR="00874FE8">
        <w:rPr>
          <w:color w:val="000000"/>
          <w:lang w:val="en-GB"/>
        </w:rPr>
        <w:t xml:space="preserve">(EU) </w:t>
      </w:r>
      <w:r w:rsidR="00844F9B" w:rsidRPr="004A559E">
        <w:rPr>
          <w:color w:val="000000"/>
          <w:lang w:val="en-GB"/>
        </w:rPr>
        <w:t>average</w:t>
      </w:r>
      <w:r w:rsidR="00BF22EF" w:rsidRPr="004A559E">
        <w:rPr>
          <w:color w:val="000000"/>
        </w:rPr>
        <w:t>.</w:t>
      </w:r>
      <w:r w:rsidR="00FB258B" w:rsidRPr="00F93F2C">
        <w:rPr>
          <w:rStyle w:val="FootnoteReference"/>
          <w:color w:val="000000"/>
        </w:rPr>
        <w:footnoteReference w:id="14"/>
      </w:r>
      <w:r w:rsidR="00BF22EF" w:rsidRPr="004A559E">
        <w:rPr>
          <w:color w:val="000000"/>
        </w:rPr>
        <w:t xml:space="preserve"> </w:t>
      </w:r>
      <w:r>
        <w:rPr>
          <w:color w:val="000000"/>
          <w:lang w:val="en-GB"/>
        </w:rPr>
        <w:t>It</w:t>
      </w:r>
      <w:r w:rsidRPr="004A559E">
        <w:rPr>
          <w:color w:val="000000"/>
          <w:lang w:val="en-GB"/>
        </w:rPr>
        <w:t xml:space="preserve"> </w:t>
      </w:r>
      <w:r w:rsidR="00844F9B" w:rsidRPr="004A559E">
        <w:rPr>
          <w:color w:val="000000"/>
          <w:lang w:val="en-GB"/>
        </w:rPr>
        <w:t>imports 87</w:t>
      </w:r>
      <w:r w:rsidR="0079542E">
        <w:rPr>
          <w:color w:val="000000"/>
          <w:lang w:val="en-GB"/>
        </w:rPr>
        <w:t xml:space="preserve"> per cent</w:t>
      </w:r>
      <w:r w:rsidR="0079542E" w:rsidRPr="004A559E">
        <w:rPr>
          <w:color w:val="000000"/>
          <w:lang w:val="en-GB"/>
        </w:rPr>
        <w:t xml:space="preserve"> </w:t>
      </w:r>
      <w:r w:rsidR="00844F9B" w:rsidRPr="004A559E">
        <w:rPr>
          <w:color w:val="000000"/>
          <w:lang w:val="en-GB"/>
        </w:rPr>
        <w:t xml:space="preserve">of </w:t>
      </w:r>
      <w:r w:rsidR="00CF4E4E">
        <w:rPr>
          <w:color w:val="000000"/>
          <w:lang w:val="en-GB"/>
        </w:rPr>
        <w:t>its</w:t>
      </w:r>
      <w:r w:rsidR="00CF4E4E" w:rsidRPr="004A559E">
        <w:rPr>
          <w:color w:val="000000"/>
          <w:lang w:val="en-GB"/>
        </w:rPr>
        <w:t xml:space="preserve"> </w:t>
      </w:r>
      <w:r w:rsidR="00844F9B" w:rsidRPr="004A559E">
        <w:rPr>
          <w:color w:val="000000"/>
          <w:lang w:val="en-GB"/>
        </w:rPr>
        <w:t>energy,</w:t>
      </w:r>
      <w:r w:rsidR="005C4B9A" w:rsidRPr="004A559E">
        <w:rPr>
          <w:color w:val="000000"/>
        </w:rPr>
        <w:t xml:space="preserve"> which poses a</w:t>
      </w:r>
      <w:r w:rsidR="00B15741">
        <w:rPr>
          <w:color w:val="000000"/>
        </w:rPr>
        <w:t>n</w:t>
      </w:r>
      <w:r w:rsidR="005C4B9A" w:rsidRPr="004A559E">
        <w:rPr>
          <w:color w:val="000000"/>
        </w:rPr>
        <w:t xml:space="preserve"> energy security risk.</w:t>
      </w:r>
      <w:r w:rsidR="00844F9B" w:rsidRPr="004A559E">
        <w:rPr>
          <w:color w:val="000000"/>
          <w:lang w:val="en-GB"/>
        </w:rPr>
        <w:t xml:space="preserve"> </w:t>
      </w:r>
      <w:r w:rsidR="005C4B9A" w:rsidRPr="004A559E">
        <w:rPr>
          <w:color w:val="000000"/>
          <w:lang w:val="en-GB"/>
        </w:rPr>
        <w:t>H</w:t>
      </w:r>
      <w:r w:rsidR="00844F9B" w:rsidRPr="004A559E">
        <w:rPr>
          <w:color w:val="000000"/>
          <w:lang w:val="en-GB"/>
        </w:rPr>
        <w:t>igh energy prices and large debts to foreign suppliers make</w:t>
      </w:r>
      <w:r w:rsidR="00BF22EF" w:rsidRPr="004A559E">
        <w:rPr>
          <w:color w:val="000000"/>
          <w:lang w:val="en-GB"/>
        </w:rPr>
        <w:t xml:space="preserve"> </w:t>
      </w:r>
      <w:r w:rsidR="005C4B9A" w:rsidRPr="004A559E">
        <w:rPr>
          <w:lang w:val="en-GB"/>
        </w:rPr>
        <w:t>affordability of energy</w:t>
      </w:r>
      <w:r w:rsidR="00BF22EF" w:rsidRPr="004A559E">
        <w:rPr>
          <w:lang w:val="en-GB"/>
        </w:rPr>
        <w:t xml:space="preserve"> </w:t>
      </w:r>
      <w:r w:rsidR="00844F9B" w:rsidRPr="004A559E">
        <w:rPr>
          <w:lang w:val="en-GB"/>
        </w:rPr>
        <w:t xml:space="preserve">a concern. The Government </w:t>
      </w:r>
      <w:r w:rsidR="005C4B9A" w:rsidRPr="004A559E">
        <w:rPr>
          <w:lang w:val="en-GB"/>
        </w:rPr>
        <w:t>is committed</w:t>
      </w:r>
      <w:r w:rsidR="00844F9B" w:rsidRPr="004A559E">
        <w:rPr>
          <w:lang w:val="en-GB"/>
        </w:rPr>
        <w:t xml:space="preserve"> to </w:t>
      </w:r>
      <w:r w:rsidR="0079542E">
        <w:rPr>
          <w:lang w:val="en-GB"/>
        </w:rPr>
        <w:t>"</w:t>
      </w:r>
      <w:r w:rsidR="0079542E" w:rsidRPr="004A559E">
        <w:rPr>
          <w:lang w:val="en-GB"/>
        </w:rPr>
        <w:t>green</w:t>
      </w:r>
      <w:r w:rsidR="00067C22">
        <w:rPr>
          <w:lang w:val="en-GB"/>
        </w:rPr>
        <w:t>ing</w:t>
      </w:r>
      <w:r w:rsidR="0079542E">
        <w:rPr>
          <w:lang w:val="en-GB"/>
        </w:rPr>
        <w:t>"</w:t>
      </w:r>
      <w:r w:rsidR="0079542E" w:rsidRPr="004A559E">
        <w:rPr>
          <w:lang w:val="en-GB"/>
        </w:rPr>
        <w:t xml:space="preserve"> </w:t>
      </w:r>
      <w:r w:rsidR="00844F9B" w:rsidRPr="004A559E">
        <w:rPr>
          <w:lang w:val="en-GB"/>
        </w:rPr>
        <w:t xml:space="preserve">the energy sector by </w:t>
      </w:r>
      <w:r w:rsidR="00BF22EF" w:rsidRPr="004A559E">
        <w:rPr>
          <w:lang w:val="en-GB"/>
        </w:rPr>
        <w:t>enhancing</w:t>
      </w:r>
      <w:r w:rsidR="00844F9B" w:rsidRPr="004A559E">
        <w:rPr>
          <w:lang w:val="en-GB"/>
        </w:rPr>
        <w:t xml:space="preserve"> energy efficiency and </w:t>
      </w:r>
      <w:r w:rsidR="005C4B9A" w:rsidRPr="004A559E">
        <w:rPr>
          <w:lang w:val="en-GB"/>
        </w:rPr>
        <w:t>increasing</w:t>
      </w:r>
      <w:r w:rsidR="00844F9B" w:rsidRPr="004A559E">
        <w:rPr>
          <w:lang w:val="en-GB"/>
        </w:rPr>
        <w:t xml:space="preserve"> </w:t>
      </w:r>
      <w:r w:rsidR="0041762D" w:rsidRPr="004A559E">
        <w:rPr>
          <w:lang w:val="en-GB"/>
        </w:rPr>
        <w:t>the share of renewables in the energy mix to 17</w:t>
      </w:r>
      <w:r w:rsidR="0079542E">
        <w:rPr>
          <w:lang w:val="en-GB"/>
        </w:rPr>
        <w:t xml:space="preserve"> per cent</w:t>
      </w:r>
      <w:r w:rsidR="0079542E" w:rsidRPr="004A559E">
        <w:rPr>
          <w:lang w:val="en-GB"/>
        </w:rPr>
        <w:t xml:space="preserve"> </w:t>
      </w:r>
      <w:r w:rsidR="00844F9B" w:rsidRPr="004A559E">
        <w:rPr>
          <w:lang w:val="en-GB"/>
        </w:rPr>
        <w:t>by 2020</w:t>
      </w:r>
      <w:r w:rsidR="007A55B3" w:rsidRPr="004A559E">
        <w:rPr>
          <w:lang w:val="en-GB"/>
        </w:rPr>
        <w:t>.</w:t>
      </w:r>
    </w:p>
    <w:p w14:paraId="218E336D" w14:textId="01F33FCA" w:rsidR="00DE13B2" w:rsidRDefault="00B538D2" w:rsidP="00A95A53">
      <w:pPr>
        <w:pStyle w:val="ListParagraph"/>
        <w:numPr>
          <w:ilvl w:val="0"/>
          <w:numId w:val="2"/>
        </w:numPr>
        <w:tabs>
          <w:tab w:val="left" w:pos="1170"/>
        </w:tabs>
        <w:spacing w:after="120"/>
        <w:ind w:left="810" w:right="720" w:firstLine="0"/>
        <w:jc w:val="both"/>
        <w:rPr>
          <w:color w:val="000000"/>
        </w:rPr>
      </w:pPr>
      <w:r w:rsidRPr="003F468C">
        <w:rPr>
          <w:color w:val="000000"/>
          <w:lang w:val="en-GB"/>
        </w:rPr>
        <w:t>Pollution and unsustainable management of natural resources are a sign of w</w:t>
      </w:r>
      <w:r w:rsidR="004753F6" w:rsidRPr="003F468C">
        <w:rPr>
          <w:color w:val="000000"/>
          <w:lang w:val="en-GB"/>
        </w:rPr>
        <w:t xml:space="preserve">eak </w:t>
      </w:r>
      <w:r w:rsidRPr="003F468C">
        <w:rPr>
          <w:color w:val="000000"/>
          <w:lang w:val="en-GB"/>
        </w:rPr>
        <w:t>environmental governance</w:t>
      </w:r>
      <w:r w:rsidR="00B46C85" w:rsidRPr="003F468C">
        <w:rPr>
          <w:color w:val="000000"/>
          <w:lang w:val="en-GB"/>
        </w:rPr>
        <w:t>,</w:t>
      </w:r>
      <w:r w:rsidRPr="003F468C">
        <w:rPr>
          <w:color w:val="000000"/>
          <w:lang w:val="en-GB"/>
        </w:rPr>
        <w:t xml:space="preserve"> which affects </w:t>
      </w:r>
      <w:r w:rsidR="00F85FA6">
        <w:rPr>
          <w:color w:val="000000"/>
          <w:lang w:val="en-GB"/>
        </w:rPr>
        <w:t xml:space="preserve">the country's </w:t>
      </w:r>
      <w:r w:rsidRPr="003F468C">
        <w:rPr>
          <w:color w:val="000000"/>
          <w:lang w:val="en-GB"/>
        </w:rPr>
        <w:t xml:space="preserve">sustainable development. Eroded land </w:t>
      </w:r>
      <w:r w:rsidR="00FC3F8E" w:rsidRPr="003F468C">
        <w:rPr>
          <w:color w:val="000000"/>
          <w:lang w:val="en-GB"/>
        </w:rPr>
        <w:t>represents</w:t>
      </w:r>
      <w:r w:rsidRPr="003F468C">
        <w:rPr>
          <w:color w:val="000000"/>
          <w:lang w:val="en-GB"/>
        </w:rPr>
        <w:t xml:space="preserve"> 26 </w:t>
      </w:r>
      <w:r w:rsidR="008C3E7B" w:rsidRPr="003F468C">
        <w:rPr>
          <w:color w:val="000000"/>
          <w:lang w:val="en-GB"/>
        </w:rPr>
        <w:t>per</w:t>
      </w:r>
      <w:r w:rsidR="0079542E">
        <w:rPr>
          <w:color w:val="000000"/>
          <w:lang w:val="en-GB"/>
        </w:rPr>
        <w:t xml:space="preserve"> </w:t>
      </w:r>
      <w:r w:rsidR="008C3E7B" w:rsidRPr="003F468C">
        <w:rPr>
          <w:color w:val="000000"/>
          <w:lang w:val="en-GB"/>
        </w:rPr>
        <w:t>cent</w:t>
      </w:r>
      <w:r w:rsidRPr="003F468C">
        <w:rPr>
          <w:color w:val="000000"/>
          <w:lang w:val="en-GB"/>
        </w:rPr>
        <w:t xml:space="preserve"> of total territory and 40 </w:t>
      </w:r>
      <w:r w:rsidR="008C3E7B" w:rsidRPr="003F468C">
        <w:rPr>
          <w:color w:val="000000"/>
          <w:lang w:val="en-GB"/>
        </w:rPr>
        <w:t>per</w:t>
      </w:r>
      <w:r w:rsidR="0079542E">
        <w:rPr>
          <w:color w:val="000000"/>
          <w:lang w:val="en-GB"/>
        </w:rPr>
        <w:t xml:space="preserve"> </w:t>
      </w:r>
      <w:r w:rsidR="008C3E7B" w:rsidRPr="003F468C">
        <w:rPr>
          <w:color w:val="000000"/>
          <w:lang w:val="en-GB"/>
        </w:rPr>
        <w:t>cent</w:t>
      </w:r>
      <w:r w:rsidRPr="003F468C">
        <w:rPr>
          <w:color w:val="000000"/>
          <w:lang w:val="en-GB"/>
        </w:rPr>
        <w:t xml:space="preserve"> of agriculture land,</w:t>
      </w:r>
      <w:r w:rsidRPr="00260924">
        <w:rPr>
          <w:rStyle w:val="FootnoteReference"/>
        </w:rPr>
        <w:footnoteReference w:id="15"/>
      </w:r>
      <w:r w:rsidRPr="003F468C">
        <w:rPr>
          <w:color w:val="000000"/>
          <w:lang w:val="en-GB"/>
        </w:rPr>
        <w:t xml:space="preserve"> while only 5 </w:t>
      </w:r>
      <w:r w:rsidR="008C3E7B" w:rsidRPr="003F468C">
        <w:rPr>
          <w:color w:val="000000"/>
          <w:lang w:val="en-GB"/>
        </w:rPr>
        <w:t>per</w:t>
      </w:r>
      <w:r w:rsidR="0079542E">
        <w:rPr>
          <w:color w:val="000000"/>
          <w:lang w:val="en-GB"/>
        </w:rPr>
        <w:t xml:space="preserve"> </w:t>
      </w:r>
      <w:r w:rsidR="008C3E7B" w:rsidRPr="003F468C">
        <w:rPr>
          <w:color w:val="000000"/>
          <w:lang w:val="en-GB"/>
        </w:rPr>
        <w:t>cent</w:t>
      </w:r>
      <w:r w:rsidRPr="003F468C">
        <w:rPr>
          <w:color w:val="000000"/>
          <w:lang w:val="en-GB"/>
        </w:rPr>
        <w:t xml:space="preserve"> of pastures maintain high biological value.</w:t>
      </w:r>
      <w:r w:rsidR="0079025A" w:rsidRPr="003F468C">
        <w:rPr>
          <w:color w:val="000000"/>
          <w:lang w:val="en-GB"/>
        </w:rPr>
        <w:t xml:space="preserve"> </w:t>
      </w:r>
      <w:r w:rsidR="00850A25">
        <w:rPr>
          <w:color w:val="000000"/>
          <w:lang w:val="en-GB"/>
        </w:rPr>
        <w:t>E</w:t>
      </w:r>
      <w:r w:rsidRPr="003F468C">
        <w:rPr>
          <w:color w:val="000000"/>
          <w:lang w:val="en-GB"/>
        </w:rPr>
        <w:t>stimated losses to agriculture are $53 million annually</w:t>
      </w:r>
      <w:r w:rsidR="00850A25">
        <w:rPr>
          <w:color w:val="000000"/>
          <w:lang w:val="en-GB"/>
        </w:rPr>
        <w:t xml:space="preserve">, due to </w:t>
      </w:r>
      <w:r w:rsidR="00CF4E4E">
        <w:rPr>
          <w:color w:val="000000"/>
          <w:lang w:val="en-GB"/>
        </w:rPr>
        <w:t>poor</w:t>
      </w:r>
      <w:r w:rsidR="00850A25">
        <w:rPr>
          <w:color w:val="000000"/>
          <w:lang w:val="en-GB"/>
        </w:rPr>
        <w:t xml:space="preserve"> sustainable </w:t>
      </w:r>
      <w:r w:rsidR="0079542E">
        <w:rPr>
          <w:color w:val="000000"/>
          <w:lang w:val="en-GB"/>
        </w:rPr>
        <w:t xml:space="preserve">pasture </w:t>
      </w:r>
      <w:r w:rsidR="00850A25">
        <w:rPr>
          <w:color w:val="000000"/>
          <w:lang w:val="en-GB"/>
        </w:rPr>
        <w:t>management plans</w:t>
      </w:r>
      <w:r w:rsidRPr="003F468C">
        <w:rPr>
          <w:color w:val="000000"/>
          <w:lang w:val="en-GB"/>
        </w:rPr>
        <w:t>. Waste management practices are outdated and inefficient, posing threats to human healt</w:t>
      </w:r>
      <w:r w:rsidR="0079025A" w:rsidRPr="003F468C">
        <w:rPr>
          <w:color w:val="000000"/>
          <w:lang w:val="en-GB"/>
        </w:rPr>
        <w:t xml:space="preserve">h. </w:t>
      </w:r>
      <w:r w:rsidR="00850A25" w:rsidRPr="003F468C">
        <w:rPr>
          <w:color w:val="000000"/>
          <w:lang w:val="en-GB"/>
        </w:rPr>
        <w:t xml:space="preserve">Data in the </w:t>
      </w:r>
      <w:hyperlink r:id="rId13" w:history="1">
        <w:r w:rsidR="00850A25" w:rsidRPr="003F468C">
          <w:rPr>
            <w:rStyle w:val="Hyperlink"/>
            <w:lang w:val="en-GB"/>
          </w:rPr>
          <w:t>INFORM Index for Risk Management</w:t>
        </w:r>
      </w:hyperlink>
      <w:r w:rsidR="00850A25" w:rsidRPr="003F468C">
        <w:rPr>
          <w:color w:val="000000"/>
          <w:lang w:val="en-GB"/>
        </w:rPr>
        <w:t xml:space="preserve"> highlight </w:t>
      </w:r>
      <w:r w:rsidR="00856220">
        <w:rPr>
          <w:color w:val="000000"/>
          <w:lang w:val="en-GB"/>
        </w:rPr>
        <w:t>elevated</w:t>
      </w:r>
      <w:r w:rsidR="00856220" w:rsidRPr="003F468C">
        <w:rPr>
          <w:color w:val="000000"/>
          <w:lang w:val="en-GB"/>
        </w:rPr>
        <w:t xml:space="preserve"> </w:t>
      </w:r>
      <w:r w:rsidR="00850A25" w:rsidRPr="003F468C">
        <w:rPr>
          <w:color w:val="000000"/>
          <w:lang w:val="en-GB"/>
        </w:rPr>
        <w:t xml:space="preserve">exposure to droughts and floods and reduced </w:t>
      </w:r>
      <w:r w:rsidR="00DE13B2">
        <w:rPr>
          <w:color w:val="000000"/>
          <w:lang w:val="en-GB"/>
        </w:rPr>
        <w:t xml:space="preserve">capacities to cope with </w:t>
      </w:r>
      <w:r w:rsidR="00620D57">
        <w:rPr>
          <w:color w:val="000000"/>
          <w:lang w:val="en-GB"/>
        </w:rPr>
        <w:t>disaster</w:t>
      </w:r>
      <w:r w:rsidR="00DE13B2">
        <w:rPr>
          <w:color w:val="000000"/>
          <w:lang w:val="en-GB"/>
        </w:rPr>
        <w:t>s</w:t>
      </w:r>
      <w:r w:rsidR="00850A25" w:rsidRPr="003F468C">
        <w:rPr>
          <w:color w:val="000000"/>
          <w:lang w:val="en-GB"/>
        </w:rPr>
        <w:t xml:space="preserve">. </w:t>
      </w:r>
      <w:r w:rsidR="00DE13B2" w:rsidRPr="00DE13B2">
        <w:rPr>
          <w:color w:val="000000"/>
        </w:rPr>
        <w:t xml:space="preserve">It is estimated that catastrophic events could result in the country losing 10 per cent of GDP per year, affecting primarily women and </w:t>
      </w:r>
      <w:r w:rsidR="00DE13B2">
        <w:rPr>
          <w:color w:val="000000"/>
        </w:rPr>
        <w:t xml:space="preserve">the </w:t>
      </w:r>
      <w:r w:rsidR="00DE13B2" w:rsidRPr="00DE13B2">
        <w:rPr>
          <w:color w:val="000000"/>
        </w:rPr>
        <w:t xml:space="preserve">rural poor.  </w:t>
      </w:r>
    </w:p>
    <w:p w14:paraId="3A732F38" w14:textId="47AADB52" w:rsidR="00761BF3" w:rsidRPr="00850A25" w:rsidRDefault="008A444B" w:rsidP="00A95A53">
      <w:pPr>
        <w:pStyle w:val="ListParagraph"/>
        <w:numPr>
          <w:ilvl w:val="0"/>
          <w:numId w:val="2"/>
        </w:numPr>
        <w:tabs>
          <w:tab w:val="left" w:pos="1170"/>
        </w:tabs>
        <w:spacing w:after="120"/>
        <w:ind w:left="810" w:right="720" w:firstLine="0"/>
        <w:jc w:val="both"/>
        <w:rPr>
          <w:color w:val="000000"/>
        </w:rPr>
      </w:pPr>
      <w:r>
        <w:rPr>
          <w:color w:val="000000"/>
          <w:lang w:val="en-GB"/>
        </w:rPr>
        <w:t xml:space="preserve">These challenges </w:t>
      </w:r>
      <w:r w:rsidR="003A7183">
        <w:rPr>
          <w:color w:val="000000"/>
          <w:lang w:val="en-GB"/>
        </w:rPr>
        <w:t xml:space="preserve">are </w:t>
      </w:r>
      <w:r w:rsidR="00981F4D">
        <w:rPr>
          <w:color w:val="000000"/>
          <w:lang w:val="en-GB"/>
        </w:rPr>
        <w:t xml:space="preserve">compounded by </w:t>
      </w:r>
      <w:r w:rsidR="00B472DE" w:rsidRPr="00850A25">
        <w:rPr>
          <w:color w:val="000000"/>
          <w:lang w:val="en-GB"/>
        </w:rPr>
        <w:t xml:space="preserve">the </w:t>
      </w:r>
      <w:r w:rsidR="00981F4D">
        <w:rPr>
          <w:color w:val="000000"/>
          <w:lang w:val="en-GB"/>
        </w:rPr>
        <w:t>long-term</w:t>
      </w:r>
      <w:r w:rsidR="00981F4D" w:rsidRPr="00850A25">
        <w:rPr>
          <w:color w:val="000000"/>
          <w:lang w:val="en-GB"/>
        </w:rPr>
        <w:t xml:space="preserve"> </w:t>
      </w:r>
      <w:r w:rsidR="00B472DE" w:rsidRPr="00850A25">
        <w:rPr>
          <w:color w:val="000000"/>
          <w:lang w:val="en-GB"/>
        </w:rPr>
        <w:t>conflict in</w:t>
      </w:r>
      <w:r w:rsidR="00B46C85" w:rsidRPr="00850A25">
        <w:rPr>
          <w:color w:val="000000"/>
          <w:lang w:val="en-GB"/>
        </w:rPr>
        <w:t xml:space="preserve"> the</w:t>
      </w:r>
      <w:r w:rsidR="00B472DE" w:rsidRPr="00850A25">
        <w:rPr>
          <w:color w:val="000000"/>
          <w:lang w:val="en-GB"/>
        </w:rPr>
        <w:t xml:space="preserve"> Transnistrian region</w:t>
      </w:r>
      <w:r w:rsidR="00C946AF">
        <w:rPr>
          <w:color w:val="000000"/>
          <w:lang w:val="en-GB"/>
        </w:rPr>
        <w:t>, which</w:t>
      </w:r>
      <w:r w:rsidR="00B472DE" w:rsidRPr="00850A25">
        <w:rPr>
          <w:color w:val="000000"/>
          <w:lang w:val="en-GB"/>
        </w:rPr>
        <w:t xml:space="preserve"> </w:t>
      </w:r>
      <w:r w:rsidR="005C4B9A" w:rsidRPr="00850A25">
        <w:rPr>
          <w:color w:val="000000"/>
          <w:lang w:val="en-GB"/>
        </w:rPr>
        <w:t xml:space="preserve">remains </w:t>
      </w:r>
      <w:r w:rsidR="00D86F3E" w:rsidRPr="00850A25">
        <w:rPr>
          <w:color w:val="000000"/>
          <w:lang w:val="en-GB"/>
        </w:rPr>
        <w:t>isolated</w:t>
      </w:r>
      <w:r w:rsidR="00D86F3E">
        <w:rPr>
          <w:color w:val="000000"/>
          <w:lang w:val="en-GB"/>
        </w:rPr>
        <w:t xml:space="preserve">, </w:t>
      </w:r>
      <w:r w:rsidR="00D86F3E" w:rsidRPr="00850A25">
        <w:rPr>
          <w:color w:val="000000"/>
          <w:lang w:val="en-GB"/>
        </w:rPr>
        <w:t>heavily</w:t>
      </w:r>
      <w:r w:rsidR="005C4B9A" w:rsidRPr="00850A25">
        <w:rPr>
          <w:color w:val="000000"/>
          <w:lang w:val="en-GB"/>
        </w:rPr>
        <w:t xml:space="preserve"> affected by outward migration, worsening economic conditi</w:t>
      </w:r>
      <w:r w:rsidR="0079025A" w:rsidRPr="00850A25">
        <w:rPr>
          <w:color w:val="000000"/>
          <w:lang w:val="en-GB"/>
        </w:rPr>
        <w:t xml:space="preserve">ons, political uncertainty and </w:t>
      </w:r>
      <w:r w:rsidR="005C4B9A" w:rsidRPr="00850A25">
        <w:rPr>
          <w:color w:val="000000"/>
          <w:lang w:val="en-GB"/>
        </w:rPr>
        <w:t>degrading quality of services</w:t>
      </w:r>
      <w:r w:rsidR="00981F4D">
        <w:rPr>
          <w:color w:val="000000"/>
          <w:lang w:val="en-GB"/>
        </w:rPr>
        <w:t>. These issues contribute to</w:t>
      </w:r>
      <w:r w:rsidR="005C4B9A" w:rsidRPr="00850A25">
        <w:rPr>
          <w:color w:val="000000"/>
          <w:lang w:val="en-GB"/>
        </w:rPr>
        <w:t xml:space="preserve"> a gradual erosion of social cohesion</w:t>
      </w:r>
      <w:r w:rsidR="00981F4D">
        <w:rPr>
          <w:color w:val="000000"/>
          <w:lang w:val="en-GB"/>
        </w:rPr>
        <w:t xml:space="preserve"> within the region</w:t>
      </w:r>
      <w:r w:rsidR="00FB1BC4" w:rsidRPr="00850A25">
        <w:rPr>
          <w:color w:val="000000"/>
          <w:lang w:val="en-GB"/>
        </w:rPr>
        <w:t xml:space="preserve"> </w:t>
      </w:r>
      <w:r w:rsidR="00981F4D">
        <w:rPr>
          <w:color w:val="000000"/>
          <w:lang w:val="en-GB"/>
        </w:rPr>
        <w:t xml:space="preserve">and </w:t>
      </w:r>
      <w:r w:rsidR="0068711D">
        <w:rPr>
          <w:color w:val="000000"/>
          <w:lang w:val="en-GB"/>
        </w:rPr>
        <w:t>impact</w:t>
      </w:r>
      <w:r w:rsidR="00CF4E4E">
        <w:rPr>
          <w:color w:val="000000"/>
          <w:lang w:val="en-GB"/>
        </w:rPr>
        <w:t xml:space="preserve"> </w:t>
      </w:r>
      <w:r w:rsidR="00FB1BC4" w:rsidRPr="00850A25">
        <w:rPr>
          <w:color w:val="000000"/>
          <w:lang w:val="en-GB"/>
        </w:rPr>
        <w:t>reconciliation</w:t>
      </w:r>
      <w:r w:rsidR="00981F4D">
        <w:rPr>
          <w:color w:val="000000"/>
          <w:lang w:val="en-GB"/>
        </w:rPr>
        <w:t xml:space="preserve"> </w:t>
      </w:r>
      <w:r w:rsidR="00317ECB">
        <w:rPr>
          <w:color w:val="000000"/>
          <w:lang w:val="en-GB"/>
        </w:rPr>
        <w:t>efforts</w:t>
      </w:r>
      <w:r w:rsidR="005C4B9A" w:rsidRPr="00850A25">
        <w:rPr>
          <w:color w:val="000000"/>
          <w:lang w:val="en-GB"/>
        </w:rPr>
        <w:t xml:space="preserve">. </w:t>
      </w:r>
    </w:p>
    <w:p w14:paraId="7BADFF9C" w14:textId="7ED73EEE" w:rsidR="00761BF3" w:rsidRPr="00510338" w:rsidRDefault="00761BF3" w:rsidP="00A95A53">
      <w:pPr>
        <w:pStyle w:val="ListParagraph"/>
        <w:numPr>
          <w:ilvl w:val="0"/>
          <w:numId w:val="2"/>
        </w:numPr>
        <w:tabs>
          <w:tab w:val="left" w:pos="1170"/>
        </w:tabs>
        <w:spacing w:after="120"/>
        <w:ind w:left="810" w:right="720" w:firstLine="0"/>
        <w:jc w:val="both"/>
        <w:rPr>
          <w:color w:val="000000"/>
        </w:rPr>
      </w:pPr>
      <w:r>
        <w:t>T</w:t>
      </w:r>
      <w:r w:rsidRPr="0079025A">
        <w:t>he</w:t>
      </w:r>
      <w:r w:rsidR="005179C0">
        <w:t xml:space="preserve"> United Nations Development Assistance Framework (</w:t>
      </w:r>
      <w:r w:rsidRPr="0079025A">
        <w:t>UNDAF</w:t>
      </w:r>
      <w:r w:rsidR="005179C0">
        <w:t>)</w:t>
      </w:r>
      <w:r w:rsidRPr="0079025A">
        <w:t xml:space="preserve"> evaluation confirmed </w:t>
      </w:r>
      <w:r w:rsidR="00CF4E4E">
        <w:t xml:space="preserve">that </w:t>
      </w:r>
      <w:r w:rsidRPr="00510338">
        <w:rPr>
          <w:color w:val="000000"/>
        </w:rPr>
        <w:t>impactful results were delivered during the 201</w:t>
      </w:r>
      <w:r>
        <w:rPr>
          <w:color w:val="000000"/>
        </w:rPr>
        <w:t>3</w:t>
      </w:r>
      <w:r w:rsidRPr="00510338">
        <w:rPr>
          <w:color w:val="000000"/>
        </w:rPr>
        <w:t>-2017 programming cycle</w:t>
      </w:r>
      <w:r w:rsidR="002346C2">
        <w:rPr>
          <w:color w:val="000000"/>
        </w:rPr>
        <w:t xml:space="preserve">, </w:t>
      </w:r>
      <w:r w:rsidR="00067C22">
        <w:rPr>
          <w:color w:val="000000"/>
        </w:rPr>
        <w:t xml:space="preserve">and highlighted </w:t>
      </w:r>
      <w:r w:rsidR="008A444B">
        <w:rPr>
          <w:color w:val="000000"/>
        </w:rPr>
        <w:t xml:space="preserve">the </w:t>
      </w:r>
      <w:r w:rsidRPr="00510338">
        <w:rPr>
          <w:color w:val="000000"/>
          <w:lang w:val="en-GB"/>
        </w:rPr>
        <w:t xml:space="preserve">comparative </w:t>
      </w:r>
      <w:r w:rsidR="008A444B" w:rsidRPr="00510338">
        <w:rPr>
          <w:lang w:val="en-GB"/>
        </w:rPr>
        <w:t>advantage</w:t>
      </w:r>
      <w:r w:rsidR="008A444B">
        <w:rPr>
          <w:lang w:val="en-GB"/>
        </w:rPr>
        <w:t xml:space="preserve"> of UNDP</w:t>
      </w:r>
      <w:r w:rsidRPr="00510338">
        <w:rPr>
          <w:lang w:val="en-GB"/>
        </w:rPr>
        <w:t xml:space="preserve"> including </w:t>
      </w:r>
      <w:r w:rsidR="00712667">
        <w:rPr>
          <w:lang w:val="en-GB"/>
        </w:rPr>
        <w:t xml:space="preserve">its role as </w:t>
      </w:r>
      <w:r w:rsidR="00823A38">
        <w:rPr>
          <w:lang w:val="en-GB"/>
        </w:rPr>
        <w:t xml:space="preserve">an </w:t>
      </w:r>
      <w:r w:rsidR="00082DE4" w:rsidRPr="00DE13B2">
        <w:rPr>
          <w:lang w:val="en-GB"/>
        </w:rPr>
        <w:t>imp</w:t>
      </w:r>
      <w:r w:rsidR="008A444B">
        <w:rPr>
          <w:lang w:val="en-GB"/>
        </w:rPr>
        <w:t>artial</w:t>
      </w:r>
      <w:r w:rsidR="00712667">
        <w:rPr>
          <w:lang w:val="en-GB"/>
        </w:rPr>
        <w:t xml:space="preserve"> broker</w:t>
      </w:r>
      <w:r>
        <w:rPr>
          <w:lang w:val="en-GB"/>
        </w:rPr>
        <w:t xml:space="preserve"> </w:t>
      </w:r>
      <w:r w:rsidR="00823A38">
        <w:rPr>
          <w:lang w:val="en-GB"/>
        </w:rPr>
        <w:t xml:space="preserve">and a </w:t>
      </w:r>
      <w:r>
        <w:rPr>
          <w:lang w:val="en-GB"/>
        </w:rPr>
        <w:t xml:space="preserve">credible and trusted partner. </w:t>
      </w:r>
      <w:r w:rsidR="008A444B">
        <w:rPr>
          <w:lang w:val="en-GB"/>
        </w:rPr>
        <w:t xml:space="preserve">The evaluation emphasized the ability of </w:t>
      </w:r>
      <w:r>
        <w:rPr>
          <w:lang w:val="en-GB"/>
        </w:rPr>
        <w:t>UNDP</w:t>
      </w:r>
      <w:r w:rsidRPr="00510338">
        <w:rPr>
          <w:lang w:val="en-GB"/>
        </w:rPr>
        <w:t xml:space="preserve"> to </w:t>
      </w:r>
      <w:r w:rsidRPr="00510338">
        <w:rPr>
          <w:lang w:val="en-GB" w:eastAsia="en-GB"/>
        </w:rPr>
        <w:t xml:space="preserve">bring top-notch </w:t>
      </w:r>
      <w:r>
        <w:rPr>
          <w:lang w:val="en-GB" w:eastAsia="en-GB"/>
        </w:rPr>
        <w:t xml:space="preserve">expertise, provide </w:t>
      </w:r>
      <w:r w:rsidR="008A444B">
        <w:rPr>
          <w:lang w:val="en-GB" w:eastAsia="en-GB"/>
        </w:rPr>
        <w:t>context-</w:t>
      </w:r>
      <w:r>
        <w:rPr>
          <w:lang w:val="en-GB" w:eastAsia="en-GB"/>
        </w:rPr>
        <w:t>specific</w:t>
      </w:r>
      <w:r w:rsidR="00712667">
        <w:rPr>
          <w:lang w:val="en-GB" w:eastAsia="en-GB"/>
        </w:rPr>
        <w:t>,</w:t>
      </w:r>
      <w:r>
        <w:rPr>
          <w:lang w:val="en-GB" w:eastAsia="en-GB"/>
        </w:rPr>
        <w:t xml:space="preserve"> relevant policy advice and generate innovative solutions to complex challenges</w:t>
      </w:r>
      <w:r w:rsidRPr="00510338">
        <w:rPr>
          <w:lang w:val="en-GB" w:eastAsia="en-GB"/>
        </w:rPr>
        <w:t>.</w:t>
      </w:r>
      <w:r w:rsidRPr="00CA13D1">
        <w:rPr>
          <w:color w:val="000000"/>
          <w:vertAlign w:val="superscript"/>
        </w:rPr>
        <w:footnoteReference w:id="16"/>
      </w:r>
      <w:r w:rsidRPr="00510338">
        <w:rPr>
          <w:lang w:val="en-GB" w:eastAsia="en-GB"/>
        </w:rPr>
        <w:t xml:space="preserve"> </w:t>
      </w:r>
      <w:r>
        <w:rPr>
          <w:lang w:val="en-GB" w:eastAsia="en-GB"/>
        </w:rPr>
        <w:t>O</w:t>
      </w:r>
      <w:r w:rsidRPr="00510338">
        <w:rPr>
          <w:lang w:val="en-GB" w:eastAsia="en-GB"/>
        </w:rPr>
        <w:t>utcome evaluations confirm</w:t>
      </w:r>
      <w:r>
        <w:rPr>
          <w:lang w:val="en-GB" w:eastAsia="en-GB"/>
        </w:rPr>
        <w:t xml:space="preserve">ed </w:t>
      </w:r>
      <w:r w:rsidR="008A444B">
        <w:rPr>
          <w:lang w:val="en-GB" w:eastAsia="en-GB"/>
        </w:rPr>
        <w:t xml:space="preserve">that </w:t>
      </w:r>
      <w:r>
        <w:rPr>
          <w:lang w:val="en-GB" w:eastAsia="en-GB"/>
        </w:rPr>
        <w:t>UNDP</w:t>
      </w:r>
      <w:r w:rsidR="00823A38">
        <w:rPr>
          <w:lang w:val="en-GB" w:eastAsia="en-GB"/>
        </w:rPr>
        <w:t>,</w:t>
      </w:r>
      <w:r>
        <w:rPr>
          <w:lang w:val="en-GB" w:eastAsia="en-GB"/>
        </w:rPr>
        <w:t xml:space="preserve"> </w:t>
      </w:r>
      <w:r w:rsidR="008A444B">
        <w:rPr>
          <w:lang w:val="en-GB" w:eastAsia="en-GB"/>
        </w:rPr>
        <w:t xml:space="preserve">together </w:t>
      </w:r>
      <w:r>
        <w:rPr>
          <w:lang w:val="en-GB" w:eastAsia="en-GB"/>
        </w:rPr>
        <w:t>with</w:t>
      </w:r>
      <w:r w:rsidR="00712667">
        <w:rPr>
          <w:lang w:val="en-GB" w:eastAsia="en-GB"/>
        </w:rPr>
        <w:t xml:space="preserve"> the Government, EU and </w:t>
      </w:r>
      <w:r>
        <w:rPr>
          <w:lang w:val="en-GB" w:eastAsia="en-GB"/>
        </w:rPr>
        <w:t xml:space="preserve">other development actors, </w:t>
      </w:r>
      <w:r w:rsidR="008A444B">
        <w:rPr>
          <w:lang w:val="en-GB" w:eastAsia="en-GB"/>
        </w:rPr>
        <w:t xml:space="preserve">accomplished transformative results </w:t>
      </w:r>
      <w:r>
        <w:rPr>
          <w:lang w:val="en-GB" w:eastAsia="en-GB"/>
        </w:rPr>
        <w:t xml:space="preserve">such as </w:t>
      </w:r>
      <w:r w:rsidRPr="00510338">
        <w:rPr>
          <w:lang w:val="en-GB" w:eastAsia="en-GB"/>
        </w:rPr>
        <w:t xml:space="preserve">strengthening </w:t>
      </w:r>
      <w:r>
        <w:rPr>
          <w:lang w:val="en-GB" w:eastAsia="en-GB"/>
        </w:rPr>
        <w:t xml:space="preserve">the capacity of public institutions across the three branches of </w:t>
      </w:r>
      <w:r w:rsidR="00265E16">
        <w:rPr>
          <w:lang w:val="en-GB" w:eastAsia="en-GB"/>
        </w:rPr>
        <w:t>government</w:t>
      </w:r>
      <w:r w:rsidR="002346C2">
        <w:rPr>
          <w:lang w:val="en-GB" w:eastAsia="en-GB"/>
        </w:rPr>
        <w:t>, including through</w:t>
      </w:r>
      <w:r w:rsidR="005E6C48">
        <w:rPr>
          <w:lang w:val="en-GB" w:eastAsia="en-GB"/>
        </w:rPr>
        <w:t>:</w:t>
      </w:r>
      <w:r w:rsidR="002346C2">
        <w:rPr>
          <w:lang w:val="en-GB" w:eastAsia="en-GB"/>
        </w:rPr>
        <w:t xml:space="preserve"> South-South cooperation and </w:t>
      </w:r>
      <w:r w:rsidR="006257EB">
        <w:rPr>
          <w:lang w:val="en-GB" w:eastAsia="en-GB"/>
        </w:rPr>
        <w:t xml:space="preserve">sharing of </w:t>
      </w:r>
      <w:r w:rsidR="002346C2">
        <w:rPr>
          <w:lang w:val="en-GB" w:eastAsia="en-GB"/>
        </w:rPr>
        <w:t>expertise</w:t>
      </w:r>
      <w:r>
        <w:rPr>
          <w:lang w:val="en-GB" w:eastAsia="en-GB"/>
        </w:rPr>
        <w:t xml:space="preserve">; spearheading and applying </w:t>
      </w:r>
      <w:r w:rsidR="006257EB">
        <w:rPr>
          <w:lang w:val="en-GB" w:eastAsia="en-GB"/>
        </w:rPr>
        <w:t>innovation</w:t>
      </w:r>
      <w:r>
        <w:rPr>
          <w:lang w:val="en-GB" w:eastAsia="en-GB"/>
        </w:rPr>
        <w:t xml:space="preserve"> to policy development</w:t>
      </w:r>
      <w:r w:rsidR="006257EB">
        <w:rPr>
          <w:lang w:val="en-GB" w:eastAsia="en-GB"/>
        </w:rPr>
        <w:t xml:space="preserve"> and </w:t>
      </w:r>
      <w:r>
        <w:rPr>
          <w:lang w:val="en-GB" w:eastAsia="en-GB"/>
        </w:rPr>
        <w:t>service design</w:t>
      </w:r>
      <w:r w:rsidR="006257EB">
        <w:rPr>
          <w:lang w:val="en-GB" w:eastAsia="en-GB"/>
        </w:rPr>
        <w:t xml:space="preserve"> </w:t>
      </w:r>
      <w:r>
        <w:rPr>
          <w:lang w:val="en-GB" w:eastAsia="en-GB"/>
        </w:rPr>
        <w:t xml:space="preserve">and delivery; promoting social cohesion and building confidence across </w:t>
      </w:r>
      <w:r w:rsidR="00823A38">
        <w:rPr>
          <w:lang w:val="en-GB" w:eastAsia="en-GB"/>
        </w:rPr>
        <w:t xml:space="preserve">the </w:t>
      </w:r>
      <w:r>
        <w:rPr>
          <w:lang w:val="en-GB" w:eastAsia="en-GB"/>
        </w:rPr>
        <w:t xml:space="preserve">conflict divide; </w:t>
      </w:r>
      <w:r w:rsidR="006257EB">
        <w:rPr>
          <w:lang w:val="en-GB" w:eastAsia="en-GB"/>
        </w:rPr>
        <w:t xml:space="preserve">and </w:t>
      </w:r>
      <w:r>
        <w:rPr>
          <w:lang w:val="en-GB" w:eastAsia="en-GB"/>
        </w:rPr>
        <w:t xml:space="preserve">generating employment and providing access to </w:t>
      </w:r>
      <w:r w:rsidR="00712667">
        <w:rPr>
          <w:lang w:val="en-GB" w:eastAsia="en-GB"/>
        </w:rPr>
        <w:t>quality</w:t>
      </w:r>
      <w:r>
        <w:rPr>
          <w:lang w:val="en-GB" w:eastAsia="en-GB"/>
        </w:rPr>
        <w:t xml:space="preserve"> social services to more than 500,000 people in all regions of </w:t>
      </w:r>
      <w:r w:rsidR="00F85FA6">
        <w:rPr>
          <w:lang w:val="en-GB" w:eastAsia="en-GB"/>
        </w:rPr>
        <w:t>the country</w:t>
      </w:r>
      <w:r>
        <w:rPr>
          <w:lang w:val="en-GB" w:eastAsia="en-GB"/>
        </w:rPr>
        <w:t xml:space="preserve">, including Gagauzia, Taraclia and Transnistria. </w:t>
      </w:r>
      <w:r w:rsidR="006257EB">
        <w:rPr>
          <w:lang w:val="en-GB" w:eastAsia="en-GB"/>
        </w:rPr>
        <w:t xml:space="preserve">The </w:t>
      </w:r>
      <w:r>
        <w:t>UNDP</w:t>
      </w:r>
      <w:r w:rsidR="006257EB">
        <w:t xml:space="preserve"> </w:t>
      </w:r>
      <w:r>
        <w:rPr>
          <w:lang w:val="en-GB"/>
        </w:rPr>
        <w:t>modus</w:t>
      </w:r>
      <w:r w:rsidR="006257EB">
        <w:rPr>
          <w:lang w:val="en-GB"/>
        </w:rPr>
        <w:t xml:space="preserve"> </w:t>
      </w:r>
      <w:r w:rsidRPr="00510338">
        <w:rPr>
          <w:lang w:val="en-GB"/>
        </w:rPr>
        <w:t>operandi</w:t>
      </w:r>
      <w:r>
        <w:rPr>
          <w:lang w:val="en-GB"/>
        </w:rPr>
        <w:t xml:space="preserve"> in</w:t>
      </w:r>
      <w:r w:rsidRPr="00510338">
        <w:rPr>
          <w:lang w:val="en-GB"/>
        </w:rPr>
        <w:t xml:space="preserve"> </w:t>
      </w:r>
      <w:r w:rsidR="00823A38">
        <w:rPr>
          <w:lang w:val="en-GB"/>
        </w:rPr>
        <w:t xml:space="preserve">the </w:t>
      </w:r>
      <w:r w:rsidRPr="00510338">
        <w:rPr>
          <w:lang w:val="en-GB"/>
        </w:rPr>
        <w:t>Transnistrian region</w:t>
      </w:r>
      <w:r>
        <w:rPr>
          <w:lang w:val="en-GB"/>
        </w:rPr>
        <w:t xml:space="preserve"> has been appraised and commended</w:t>
      </w:r>
      <w:r w:rsidR="007A72A0">
        <w:rPr>
          <w:lang w:val="en-GB"/>
        </w:rPr>
        <w:t xml:space="preserve"> by external partners</w:t>
      </w:r>
      <w:r w:rsidRPr="00510338">
        <w:rPr>
          <w:lang w:val="en-GB"/>
        </w:rPr>
        <w:t>.</w:t>
      </w:r>
      <w:r w:rsidRPr="000138CE">
        <w:rPr>
          <w:rStyle w:val="FootnoteReference"/>
          <w:lang w:val="en-GB"/>
        </w:rPr>
        <w:footnoteReference w:id="17"/>
      </w:r>
      <w:r w:rsidRPr="00510338">
        <w:rPr>
          <w:lang w:val="en-GB"/>
        </w:rPr>
        <w:t xml:space="preserve"> </w:t>
      </w:r>
    </w:p>
    <w:p w14:paraId="3D3A510C" w14:textId="76420C88" w:rsidR="002346C2" w:rsidRPr="004A559E" w:rsidRDefault="00C946AF" w:rsidP="009B0AAB">
      <w:pPr>
        <w:pStyle w:val="ListParagraph"/>
        <w:numPr>
          <w:ilvl w:val="0"/>
          <w:numId w:val="2"/>
        </w:numPr>
        <w:tabs>
          <w:tab w:val="left" w:pos="1170"/>
        </w:tabs>
        <w:spacing w:after="120"/>
        <w:ind w:left="810" w:right="720" w:firstLine="0"/>
        <w:jc w:val="both"/>
        <w:rPr>
          <w:lang w:val="en-GB"/>
        </w:rPr>
      </w:pPr>
      <w:r>
        <w:rPr>
          <w:color w:val="000000"/>
          <w:lang w:val="en-GB"/>
        </w:rPr>
        <w:t>In a joint United Nations intervention</w:t>
      </w:r>
      <w:r w:rsidR="00844F9B" w:rsidRPr="004A559E">
        <w:rPr>
          <w:color w:val="000000"/>
          <w:lang w:val="en-GB"/>
        </w:rPr>
        <w:t>, UNDP engaged</w:t>
      </w:r>
      <w:r w:rsidR="006257EB">
        <w:rPr>
          <w:color w:val="000000"/>
          <w:lang w:val="en-GB"/>
        </w:rPr>
        <w:t xml:space="preserve"> civil society organizations</w:t>
      </w:r>
      <w:r w:rsidR="00844F9B" w:rsidRPr="004A559E">
        <w:rPr>
          <w:color w:val="000000"/>
          <w:lang w:val="en-GB"/>
        </w:rPr>
        <w:t xml:space="preserve"> </w:t>
      </w:r>
      <w:r w:rsidR="006257EB">
        <w:rPr>
          <w:color w:val="000000"/>
          <w:lang w:val="en-GB"/>
        </w:rPr>
        <w:t>(</w:t>
      </w:r>
      <w:r w:rsidR="00265E16">
        <w:rPr>
          <w:color w:val="000000"/>
          <w:lang w:val="en-GB"/>
        </w:rPr>
        <w:t>CSOs</w:t>
      </w:r>
      <w:r w:rsidR="006257EB">
        <w:rPr>
          <w:color w:val="000000"/>
          <w:lang w:val="en-GB"/>
        </w:rPr>
        <w:t>)</w:t>
      </w:r>
      <w:r w:rsidR="00844F9B" w:rsidRPr="004A559E">
        <w:rPr>
          <w:color w:val="000000"/>
          <w:lang w:val="en-GB"/>
        </w:rPr>
        <w:t xml:space="preserve"> and legislators in a comprehensive advocacy campaign</w:t>
      </w:r>
      <w:r w:rsidR="006257EB">
        <w:rPr>
          <w:color w:val="000000"/>
          <w:lang w:val="en-GB"/>
        </w:rPr>
        <w:t xml:space="preserve"> which</w:t>
      </w:r>
      <w:r w:rsidR="006257EB" w:rsidRPr="004A559E">
        <w:rPr>
          <w:color w:val="000000"/>
          <w:lang w:val="en-GB"/>
        </w:rPr>
        <w:t xml:space="preserve"> </w:t>
      </w:r>
      <w:r w:rsidR="00844F9B" w:rsidRPr="004A559E">
        <w:rPr>
          <w:color w:val="000000"/>
          <w:lang w:val="en-GB"/>
        </w:rPr>
        <w:t xml:space="preserve">led to the adoption </w:t>
      </w:r>
      <w:r w:rsidR="006257EB">
        <w:rPr>
          <w:color w:val="000000"/>
          <w:lang w:val="en-GB"/>
        </w:rPr>
        <w:t xml:space="preserve">in April 2016 </w:t>
      </w:r>
      <w:r w:rsidR="00073425" w:rsidRPr="004A559E">
        <w:rPr>
          <w:color w:val="000000"/>
          <w:lang w:val="en-GB"/>
        </w:rPr>
        <w:t xml:space="preserve">of the </w:t>
      </w:r>
      <w:r w:rsidR="00265E16">
        <w:rPr>
          <w:color w:val="000000"/>
          <w:lang w:val="en-GB"/>
        </w:rPr>
        <w:t>innovative</w:t>
      </w:r>
      <w:r w:rsidR="00844F9B" w:rsidRPr="004A559E">
        <w:rPr>
          <w:color w:val="000000"/>
          <w:lang w:val="en-GB"/>
        </w:rPr>
        <w:t xml:space="preserve"> law on </w:t>
      </w:r>
      <w:r w:rsidR="006257EB">
        <w:rPr>
          <w:color w:val="000000"/>
          <w:lang w:val="en-GB"/>
        </w:rPr>
        <w:t>g</w:t>
      </w:r>
      <w:r w:rsidR="006257EB" w:rsidRPr="004A559E">
        <w:rPr>
          <w:color w:val="000000"/>
          <w:lang w:val="en-GB"/>
        </w:rPr>
        <w:t xml:space="preserve">ender </w:t>
      </w:r>
      <w:r w:rsidR="006257EB">
        <w:rPr>
          <w:color w:val="000000"/>
          <w:lang w:val="en-GB"/>
        </w:rPr>
        <w:t>e</w:t>
      </w:r>
      <w:r w:rsidR="006257EB" w:rsidRPr="004A559E">
        <w:rPr>
          <w:color w:val="000000"/>
          <w:lang w:val="en-GB"/>
        </w:rPr>
        <w:t>quality</w:t>
      </w:r>
      <w:r w:rsidR="005C4B9A" w:rsidRPr="004A559E">
        <w:rPr>
          <w:color w:val="000000"/>
          <w:lang w:val="en-GB"/>
        </w:rPr>
        <w:t xml:space="preserve">, </w:t>
      </w:r>
      <w:r w:rsidR="006257EB">
        <w:rPr>
          <w:color w:val="000000"/>
          <w:lang w:val="en-GB"/>
        </w:rPr>
        <w:t xml:space="preserve">requiring a </w:t>
      </w:r>
      <w:r>
        <w:rPr>
          <w:color w:val="000000"/>
          <w:lang w:val="en-GB"/>
        </w:rPr>
        <w:t>quota</w:t>
      </w:r>
      <w:r w:rsidR="006257EB">
        <w:rPr>
          <w:color w:val="000000"/>
          <w:lang w:val="en-GB"/>
        </w:rPr>
        <w:t xml:space="preserve"> of </w:t>
      </w:r>
      <w:r w:rsidR="00844F9B" w:rsidRPr="004A559E">
        <w:rPr>
          <w:color w:val="000000"/>
          <w:lang w:val="en-GB"/>
        </w:rPr>
        <w:t>40</w:t>
      </w:r>
      <w:r w:rsidR="006257EB">
        <w:rPr>
          <w:color w:val="000000"/>
          <w:lang w:val="en-GB"/>
        </w:rPr>
        <w:t xml:space="preserve"> per cent women</w:t>
      </w:r>
      <w:r w:rsidR="00844F9B" w:rsidRPr="004A559E">
        <w:rPr>
          <w:color w:val="000000"/>
          <w:lang w:val="en-GB"/>
        </w:rPr>
        <w:t xml:space="preserve"> in the Cabinet and on the political parties’ candidate lists</w:t>
      </w:r>
      <w:r w:rsidR="00844F9B" w:rsidRPr="004A559E">
        <w:rPr>
          <w:lang w:val="en-GB"/>
        </w:rPr>
        <w:t>.</w:t>
      </w:r>
      <w:r w:rsidR="00510338">
        <w:rPr>
          <w:lang w:val="en-GB"/>
        </w:rPr>
        <w:t xml:space="preserve"> </w:t>
      </w:r>
      <w:r w:rsidR="00265E16">
        <w:rPr>
          <w:lang w:val="en-GB"/>
        </w:rPr>
        <w:t>UNDP supported</w:t>
      </w:r>
      <w:r w:rsidR="00844F9B" w:rsidRPr="004A559E">
        <w:rPr>
          <w:lang w:val="en-GB"/>
        </w:rPr>
        <w:t xml:space="preserve"> </w:t>
      </w:r>
      <w:r w:rsidR="00823A38">
        <w:rPr>
          <w:lang w:val="en-GB"/>
        </w:rPr>
        <w:t xml:space="preserve">the </w:t>
      </w:r>
      <w:r w:rsidR="00035EC0">
        <w:rPr>
          <w:lang w:val="en-GB"/>
        </w:rPr>
        <w:t xml:space="preserve">first </w:t>
      </w:r>
      <w:r w:rsidR="00265E16">
        <w:rPr>
          <w:lang w:val="en-GB"/>
        </w:rPr>
        <w:t xml:space="preserve">domestic violence survivors’ </w:t>
      </w:r>
      <w:r w:rsidR="00844F9B" w:rsidRPr="004A559E">
        <w:rPr>
          <w:lang w:val="en-GB"/>
        </w:rPr>
        <w:t>shelter</w:t>
      </w:r>
      <w:r w:rsidR="006257EB">
        <w:rPr>
          <w:lang w:val="en-GB"/>
        </w:rPr>
        <w:t>,</w:t>
      </w:r>
      <w:r w:rsidR="00844F9B" w:rsidRPr="004A559E">
        <w:rPr>
          <w:lang w:val="en-GB"/>
        </w:rPr>
        <w:t xml:space="preserve"> in the Transnistria</w:t>
      </w:r>
      <w:r w:rsidR="001972EB" w:rsidRPr="004A559E">
        <w:rPr>
          <w:lang w:val="en-GB"/>
        </w:rPr>
        <w:t>n</w:t>
      </w:r>
      <w:r w:rsidR="00844F9B" w:rsidRPr="004A559E">
        <w:rPr>
          <w:lang w:val="en-GB"/>
        </w:rPr>
        <w:t xml:space="preserve"> region</w:t>
      </w:r>
      <w:r w:rsidR="006257EB">
        <w:rPr>
          <w:lang w:val="en-GB"/>
        </w:rPr>
        <w:t>. UNDP will continue to engage civil society in advocacy campaigns.</w:t>
      </w:r>
    </w:p>
    <w:p w14:paraId="1CFC67AE" w14:textId="434BD254" w:rsidR="00AE3AFB" w:rsidRPr="00712667" w:rsidRDefault="000D2874" w:rsidP="00746499">
      <w:pPr>
        <w:pStyle w:val="ListParagraph"/>
        <w:numPr>
          <w:ilvl w:val="0"/>
          <w:numId w:val="2"/>
        </w:numPr>
        <w:tabs>
          <w:tab w:val="left" w:pos="1170"/>
        </w:tabs>
        <w:ind w:left="810" w:right="720" w:firstLine="0"/>
        <w:jc w:val="both"/>
        <w:rPr>
          <w:lang w:val="en-GB"/>
        </w:rPr>
      </w:pPr>
      <w:r w:rsidRPr="004A559E">
        <w:rPr>
          <w:color w:val="000000"/>
          <w:lang w:val="en-GB"/>
        </w:rPr>
        <w:t>Significant progress has been made</w:t>
      </w:r>
      <w:r w:rsidR="00844F9B" w:rsidRPr="004A559E">
        <w:rPr>
          <w:color w:val="000000"/>
          <w:lang w:val="en-GB"/>
        </w:rPr>
        <w:t xml:space="preserve"> </w:t>
      </w:r>
      <w:r w:rsidR="00FC3F8E" w:rsidRPr="004A559E">
        <w:rPr>
          <w:color w:val="000000"/>
          <w:lang w:val="en-GB"/>
        </w:rPr>
        <w:t>in</w:t>
      </w:r>
      <w:r w:rsidR="00844F9B" w:rsidRPr="004A559E">
        <w:rPr>
          <w:color w:val="000000"/>
          <w:lang w:val="en-GB"/>
        </w:rPr>
        <w:t xml:space="preserve"> environmental management, climate resilien</w:t>
      </w:r>
      <w:r w:rsidR="003A6E03" w:rsidRPr="004A559E">
        <w:rPr>
          <w:color w:val="000000"/>
          <w:lang w:val="en-GB"/>
        </w:rPr>
        <w:t>ce and low-</w:t>
      </w:r>
      <w:r w:rsidRPr="004A559E">
        <w:rPr>
          <w:color w:val="000000"/>
          <w:lang w:val="en-GB"/>
        </w:rPr>
        <w:t>carbon development</w:t>
      </w:r>
      <w:r w:rsidR="00273AC2">
        <w:rPr>
          <w:color w:val="000000"/>
          <w:lang w:val="en-GB"/>
        </w:rPr>
        <w:t>. K</w:t>
      </w:r>
      <w:r w:rsidR="00B966F5" w:rsidRPr="004A559E">
        <w:rPr>
          <w:color w:val="000000"/>
          <w:lang w:val="en-GB"/>
        </w:rPr>
        <w:t xml:space="preserve">ey strategic planning frameworks </w:t>
      </w:r>
      <w:r w:rsidR="00423EDD">
        <w:rPr>
          <w:color w:val="000000"/>
          <w:lang w:val="en-GB"/>
        </w:rPr>
        <w:t xml:space="preserve">were </w:t>
      </w:r>
      <w:r w:rsidR="00B966F5" w:rsidRPr="004A559E">
        <w:rPr>
          <w:color w:val="000000"/>
          <w:lang w:val="en-GB"/>
        </w:rPr>
        <w:t>established with UNDP support</w:t>
      </w:r>
      <w:r w:rsidR="006125FC" w:rsidRPr="004A559E">
        <w:rPr>
          <w:color w:val="000000"/>
          <w:lang w:val="en-GB"/>
        </w:rPr>
        <w:t xml:space="preserve">, including the </w:t>
      </w:r>
      <w:r w:rsidR="006257EB">
        <w:rPr>
          <w:color w:val="000000"/>
          <w:lang w:val="en-GB"/>
        </w:rPr>
        <w:t>l</w:t>
      </w:r>
      <w:r w:rsidR="006257EB" w:rsidRPr="004A559E">
        <w:rPr>
          <w:color w:val="000000"/>
          <w:lang w:val="en-GB"/>
        </w:rPr>
        <w:t xml:space="preserve">ow </w:t>
      </w:r>
      <w:r w:rsidR="006257EB">
        <w:rPr>
          <w:color w:val="000000"/>
          <w:lang w:val="en-GB"/>
        </w:rPr>
        <w:t>e</w:t>
      </w:r>
      <w:r w:rsidR="006257EB" w:rsidRPr="004A559E">
        <w:rPr>
          <w:color w:val="000000"/>
          <w:lang w:val="en-GB"/>
        </w:rPr>
        <w:t xml:space="preserve">missions </w:t>
      </w:r>
      <w:r w:rsidR="006257EB">
        <w:rPr>
          <w:color w:val="000000"/>
          <w:lang w:val="en-GB"/>
        </w:rPr>
        <w:t>d</w:t>
      </w:r>
      <w:r w:rsidR="006257EB" w:rsidRPr="004A559E">
        <w:rPr>
          <w:color w:val="000000"/>
          <w:lang w:val="en-GB"/>
        </w:rPr>
        <w:t xml:space="preserve">evelopment </w:t>
      </w:r>
      <w:r w:rsidR="006257EB">
        <w:rPr>
          <w:color w:val="000000"/>
          <w:lang w:val="en-GB"/>
        </w:rPr>
        <w:t>s</w:t>
      </w:r>
      <w:r w:rsidR="006257EB" w:rsidRPr="004A559E">
        <w:rPr>
          <w:color w:val="000000"/>
          <w:lang w:val="en-GB"/>
        </w:rPr>
        <w:t>trategy</w:t>
      </w:r>
      <w:r w:rsidR="00BF145F">
        <w:rPr>
          <w:color w:val="000000"/>
          <w:lang w:val="en-GB"/>
        </w:rPr>
        <w:t xml:space="preserve">, which </w:t>
      </w:r>
      <w:r w:rsidR="00F85FA6">
        <w:rPr>
          <w:color w:val="000000"/>
          <w:lang w:val="en-GB"/>
        </w:rPr>
        <w:t xml:space="preserve">Republic of </w:t>
      </w:r>
      <w:r w:rsidR="00BF145F">
        <w:rPr>
          <w:color w:val="000000"/>
          <w:lang w:val="en-GB"/>
        </w:rPr>
        <w:t>Moldova was the first to adopt</w:t>
      </w:r>
      <w:r w:rsidR="006125FC" w:rsidRPr="004A559E">
        <w:rPr>
          <w:color w:val="000000"/>
          <w:lang w:val="en-GB"/>
        </w:rPr>
        <w:t xml:space="preserve"> </w:t>
      </w:r>
      <w:r w:rsidR="00BF145F">
        <w:rPr>
          <w:color w:val="000000"/>
          <w:lang w:val="en-GB"/>
        </w:rPr>
        <w:t>globally</w:t>
      </w:r>
      <w:r w:rsidR="006125FC" w:rsidRPr="004A559E">
        <w:rPr>
          <w:color w:val="000000"/>
          <w:lang w:val="en-GB"/>
        </w:rPr>
        <w:t>.</w:t>
      </w:r>
      <w:r w:rsidR="00B34541" w:rsidRPr="004A559E">
        <w:rPr>
          <w:color w:val="000000"/>
          <w:lang w:val="en-GB"/>
        </w:rPr>
        <w:t xml:space="preserve"> </w:t>
      </w:r>
      <w:r w:rsidR="00F85FA6">
        <w:rPr>
          <w:color w:val="000000"/>
          <w:lang w:val="en-GB"/>
        </w:rPr>
        <w:t>The country</w:t>
      </w:r>
      <w:r w:rsidR="00F85FA6" w:rsidRPr="004A559E">
        <w:rPr>
          <w:color w:val="000000"/>
          <w:lang w:val="en-GB"/>
        </w:rPr>
        <w:t xml:space="preserve"> </w:t>
      </w:r>
      <w:r w:rsidR="00BF145F">
        <w:rPr>
          <w:color w:val="000000"/>
          <w:lang w:val="en-GB"/>
        </w:rPr>
        <w:t>has signed</w:t>
      </w:r>
      <w:r w:rsidR="00253979" w:rsidRPr="004A559E">
        <w:rPr>
          <w:color w:val="000000"/>
          <w:lang w:val="en-GB"/>
        </w:rPr>
        <w:t xml:space="preserve"> the Paris Agreement and </w:t>
      </w:r>
      <w:r w:rsidR="00265E16">
        <w:rPr>
          <w:color w:val="000000"/>
          <w:lang w:val="en-GB"/>
        </w:rPr>
        <w:t>continues the process of</w:t>
      </w:r>
      <w:r w:rsidR="00253979" w:rsidRPr="004A559E">
        <w:rPr>
          <w:color w:val="000000"/>
          <w:lang w:val="en-GB"/>
        </w:rPr>
        <w:t xml:space="preserve"> </w:t>
      </w:r>
      <w:r w:rsidR="00253979" w:rsidRPr="004A559E">
        <w:rPr>
          <w:color w:val="000000"/>
          <w:lang w:val="en-GB"/>
        </w:rPr>
        <w:lastRenderedPageBreak/>
        <w:t xml:space="preserve">ratification with UNDP support. </w:t>
      </w:r>
      <w:r w:rsidR="00AE3AFB" w:rsidRPr="004A559E">
        <w:rPr>
          <w:color w:val="000000"/>
        </w:rPr>
        <w:t>Climate change adaptation was mai</w:t>
      </w:r>
      <w:r w:rsidR="009B0AAB">
        <w:rPr>
          <w:color w:val="000000"/>
        </w:rPr>
        <w:t xml:space="preserve">nstreamed into policy documents </w:t>
      </w:r>
      <w:r w:rsidR="006257EB">
        <w:rPr>
          <w:color w:val="000000"/>
        </w:rPr>
        <w:t>for the</w:t>
      </w:r>
      <w:r w:rsidR="006257EB" w:rsidRPr="004A559E">
        <w:rPr>
          <w:color w:val="000000"/>
        </w:rPr>
        <w:t xml:space="preserve"> </w:t>
      </w:r>
      <w:r w:rsidR="00AE3AFB" w:rsidRPr="004A559E">
        <w:rPr>
          <w:color w:val="000000"/>
        </w:rPr>
        <w:t xml:space="preserve">agriculture, energy and transport sectors, </w:t>
      </w:r>
      <w:r w:rsidR="006257EB">
        <w:rPr>
          <w:color w:val="000000"/>
        </w:rPr>
        <w:t>and</w:t>
      </w:r>
      <w:r w:rsidR="006257EB" w:rsidRPr="004A559E">
        <w:rPr>
          <w:color w:val="000000"/>
        </w:rPr>
        <w:t xml:space="preserve"> </w:t>
      </w:r>
      <w:r w:rsidR="00AE3AFB" w:rsidRPr="004A559E">
        <w:rPr>
          <w:color w:val="000000"/>
        </w:rPr>
        <w:t xml:space="preserve">risk-informed </w:t>
      </w:r>
      <w:r w:rsidR="006257EB" w:rsidRPr="004A559E">
        <w:rPr>
          <w:color w:val="000000"/>
        </w:rPr>
        <w:t>decision</w:t>
      </w:r>
      <w:r w:rsidR="006257EB">
        <w:rPr>
          <w:color w:val="000000"/>
        </w:rPr>
        <w:t>-</w:t>
      </w:r>
      <w:r w:rsidR="00AE3AFB" w:rsidRPr="004A559E">
        <w:rPr>
          <w:color w:val="000000"/>
        </w:rPr>
        <w:t>making</w:t>
      </w:r>
      <w:r w:rsidR="00073425" w:rsidRPr="004A559E">
        <w:rPr>
          <w:color w:val="000000"/>
        </w:rPr>
        <w:t xml:space="preserve"> </w:t>
      </w:r>
      <w:r w:rsidR="00273AC2" w:rsidRPr="004A559E">
        <w:rPr>
          <w:color w:val="000000"/>
        </w:rPr>
        <w:t>was</w:t>
      </w:r>
      <w:r w:rsidR="00AE3AFB" w:rsidRPr="004A559E">
        <w:rPr>
          <w:color w:val="000000"/>
        </w:rPr>
        <w:t xml:space="preserve"> introduced at </w:t>
      </w:r>
      <w:r w:rsidR="00823A38">
        <w:rPr>
          <w:color w:val="000000"/>
        </w:rPr>
        <w:t xml:space="preserve">the </w:t>
      </w:r>
      <w:r w:rsidR="00AE3AFB" w:rsidRPr="004A559E">
        <w:rPr>
          <w:color w:val="000000"/>
        </w:rPr>
        <w:t xml:space="preserve">district level. </w:t>
      </w:r>
      <w:r w:rsidR="00AE3AFB" w:rsidRPr="004A559E">
        <w:rPr>
          <w:color w:val="000000"/>
          <w:lang w:val="en-GB"/>
        </w:rPr>
        <w:t xml:space="preserve">UNDP interventions </w:t>
      </w:r>
      <w:r w:rsidR="00FC3F8E" w:rsidRPr="004A559E">
        <w:rPr>
          <w:color w:val="000000"/>
          <w:lang w:val="en-GB"/>
        </w:rPr>
        <w:t>in</w:t>
      </w:r>
      <w:r w:rsidR="00AE3AFB" w:rsidRPr="004A559E">
        <w:rPr>
          <w:color w:val="000000"/>
          <w:lang w:val="en-GB"/>
        </w:rPr>
        <w:t xml:space="preserve"> renewable</w:t>
      </w:r>
      <w:r w:rsidR="00073425" w:rsidRPr="004A559E">
        <w:rPr>
          <w:color w:val="000000"/>
          <w:lang w:val="en-GB"/>
        </w:rPr>
        <w:t xml:space="preserve"> energy</w:t>
      </w:r>
      <w:r w:rsidR="00823A38">
        <w:rPr>
          <w:color w:val="000000"/>
          <w:lang w:val="en-GB"/>
        </w:rPr>
        <w:t xml:space="preserve"> </w:t>
      </w:r>
      <w:r w:rsidR="00265E16">
        <w:rPr>
          <w:color w:val="000000"/>
          <w:lang w:val="en-GB"/>
        </w:rPr>
        <w:t xml:space="preserve">helped </w:t>
      </w:r>
      <w:r w:rsidR="006257EB">
        <w:rPr>
          <w:color w:val="000000"/>
          <w:lang w:val="en-GB"/>
        </w:rPr>
        <w:t xml:space="preserve">to </w:t>
      </w:r>
      <w:r w:rsidR="00073425" w:rsidRPr="004A559E">
        <w:rPr>
          <w:color w:val="000000"/>
        </w:rPr>
        <w:t>increase</w:t>
      </w:r>
      <w:r w:rsidR="00AE3AFB" w:rsidRPr="004A559E">
        <w:rPr>
          <w:color w:val="000000"/>
        </w:rPr>
        <w:t xml:space="preserve"> </w:t>
      </w:r>
      <w:r w:rsidR="00823A38">
        <w:rPr>
          <w:color w:val="000000"/>
        </w:rPr>
        <w:t>the</w:t>
      </w:r>
      <w:r w:rsidR="00823A38" w:rsidRPr="004A559E">
        <w:rPr>
          <w:color w:val="000000"/>
        </w:rPr>
        <w:t xml:space="preserve"> </w:t>
      </w:r>
      <w:r w:rsidR="00823A38">
        <w:rPr>
          <w:color w:val="000000"/>
        </w:rPr>
        <w:t>use of renewable energy from</w:t>
      </w:r>
      <w:r w:rsidR="00AE3AFB" w:rsidRPr="004A559E">
        <w:rPr>
          <w:color w:val="000000"/>
        </w:rPr>
        <w:t xml:space="preserve"> 5 to 14 </w:t>
      </w:r>
      <w:r w:rsidR="008C3E7B" w:rsidRPr="004A559E">
        <w:rPr>
          <w:color w:val="000000"/>
        </w:rPr>
        <w:t>per</w:t>
      </w:r>
      <w:r w:rsidR="006257EB">
        <w:rPr>
          <w:color w:val="000000"/>
        </w:rPr>
        <w:t xml:space="preserve"> </w:t>
      </w:r>
      <w:r w:rsidR="008C3E7B" w:rsidRPr="004A559E">
        <w:rPr>
          <w:color w:val="000000"/>
        </w:rPr>
        <w:t>cent</w:t>
      </w:r>
      <w:r w:rsidR="00DE13B2">
        <w:rPr>
          <w:color w:val="000000"/>
        </w:rPr>
        <w:t xml:space="preserve"> of the total energy mix</w:t>
      </w:r>
      <w:r w:rsidR="00081778">
        <w:rPr>
          <w:color w:val="000000"/>
        </w:rPr>
        <w:t xml:space="preserve">. These efforts </w:t>
      </w:r>
      <w:r w:rsidR="00AE3AFB" w:rsidRPr="004A559E">
        <w:rPr>
          <w:color w:val="000000"/>
        </w:rPr>
        <w:t xml:space="preserve">strengthened the </w:t>
      </w:r>
      <w:r w:rsidR="00B54E3B">
        <w:rPr>
          <w:color w:val="000000"/>
        </w:rPr>
        <w:t xml:space="preserve">country's </w:t>
      </w:r>
      <w:r w:rsidR="00AE3AFB" w:rsidRPr="004A559E">
        <w:rPr>
          <w:color w:val="000000"/>
        </w:rPr>
        <w:t>energy security</w:t>
      </w:r>
      <w:r w:rsidR="007B3FB3">
        <w:rPr>
          <w:color w:val="000000"/>
        </w:rPr>
        <w:t xml:space="preserve">, </w:t>
      </w:r>
      <w:r w:rsidR="00AE3AFB">
        <w:t>connect</w:t>
      </w:r>
      <w:r w:rsidR="007B3FB3">
        <w:t xml:space="preserve">ed </w:t>
      </w:r>
      <w:r w:rsidR="00AE3AFB">
        <w:t>157,00</w:t>
      </w:r>
      <w:r w:rsidR="00AE3AFB" w:rsidRPr="00203DAF">
        <w:t>0 people to affordable heating</w:t>
      </w:r>
      <w:r w:rsidR="00AE3AFB">
        <w:t xml:space="preserve"> and </w:t>
      </w:r>
      <w:r w:rsidR="00AE3AFB" w:rsidRPr="004A559E">
        <w:rPr>
          <w:color w:val="000000"/>
        </w:rPr>
        <w:t>creat</w:t>
      </w:r>
      <w:r w:rsidR="00081778">
        <w:rPr>
          <w:color w:val="000000"/>
        </w:rPr>
        <w:t>ed</w:t>
      </w:r>
      <w:r w:rsidR="00AE3AFB" w:rsidRPr="004A559E">
        <w:rPr>
          <w:color w:val="000000"/>
        </w:rPr>
        <w:t xml:space="preserve"> 150 new jobs for operators and biofuel producers. </w:t>
      </w:r>
      <w:r w:rsidR="00073425" w:rsidRPr="004A559E">
        <w:rPr>
          <w:color w:val="000000"/>
        </w:rPr>
        <w:t xml:space="preserve">The </w:t>
      </w:r>
      <w:r w:rsidR="007E2AB0" w:rsidRPr="004A559E">
        <w:rPr>
          <w:color w:val="000000"/>
          <w:lang w:val="en-GB"/>
        </w:rPr>
        <w:t>first</w:t>
      </w:r>
      <w:r w:rsidR="00B966F5" w:rsidRPr="004A559E">
        <w:rPr>
          <w:color w:val="000000"/>
          <w:lang w:val="en-GB"/>
        </w:rPr>
        <w:t xml:space="preserve"> </w:t>
      </w:r>
      <w:r w:rsidR="00B54E3B">
        <w:rPr>
          <w:color w:val="000000"/>
          <w:lang w:val="en-GB"/>
        </w:rPr>
        <w:t>n</w:t>
      </w:r>
      <w:r w:rsidR="00B54E3B" w:rsidRPr="004A559E">
        <w:rPr>
          <w:color w:val="000000"/>
          <w:lang w:val="en-GB"/>
        </w:rPr>
        <w:t xml:space="preserve">ational </w:t>
      </w:r>
      <w:r w:rsidR="00B54E3B">
        <w:rPr>
          <w:color w:val="000000"/>
          <w:lang w:val="en-GB"/>
        </w:rPr>
        <w:t>p</w:t>
      </w:r>
      <w:r w:rsidR="00B54E3B" w:rsidRPr="004A559E">
        <w:rPr>
          <w:color w:val="000000"/>
          <w:lang w:val="en-GB"/>
        </w:rPr>
        <w:t xml:space="preserve">ark </w:t>
      </w:r>
      <w:r w:rsidR="00B966F5" w:rsidRPr="004A559E">
        <w:rPr>
          <w:color w:val="000000"/>
          <w:lang w:val="en-GB"/>
        </w:rPr>
        <w:t xml:space="preserve">in the country was </w:t>
      </w:r>
      <w:r w:rsidR="00073425" w:rsidRPr="004A559E">
        <w:rPr>
          <w:color w:val="000000"/>
          <w:lang w:val="en-GB"/>
        </w:rPr>
        <w:t>established</w:t>
      </w:r>
      <w:r w:rsidR="00B966F5" w:rsidRPr="004A559E">
        <w:rPr>
          <w:color w:val="000000"/>
          <w:lang w:val="en-GB"/>
        </w:rPr>
        <w:t xml:space="preserve"> in Orhei, increasing the share of protected areas </w:t>
      </w:r>
      <w:r w:rsidR="00081778">
        <w:rPr>
          <w:color w:val="000000"/>
          <w:lang w:val="en-GB"/>
        </w:rPr>
        <w:t>by</w:t>
      </w:r>
      <w:r w:rsidR="00081778" w:rsidRPr="004A559E">
        <w:rPr>
          <w:color w:val="000000"/>
          <w:lang w:val="en-GB"/>
        </w:rPr>
        <w:t xml:space="preserve"> </w:t>
      </w:r>
      <w:r w:rsidR="00B966F5" w:rsidRPr="004A559E">
        <w:rPr>
          <w:color w:val="000000"/>
          <w:lang w:val="en-GB"/>
        </w:rPr>
        <w:t>1</w:t>
      </w:r>
      <w:r w:rsidR="00B54E3B">
        <w:rPr>
          <w:color w:val="000000"/>
          <w:lang w:val="en-GB"/>
        </w:rPr>
        <w:t xml:space="preserve"> per cent</w:t>
      </w:r>
      <w:r w:rsidR="00B54E3B" w:rsidRPr="004A559E">
        <w:rPr>
          <w:color w:val="000000"/>
          <w:lang w:val="en-GB"/>
        </w:rPr>
        <w:t xml:space="preserve">. </w:t>
      </w:r>
    </w:p>
    <w:p w14:paraId="1A2230DD" w14:textId="77777777" w:rsidR="004C5386" w:rsidRDefault="004C5386" w:rsidP="00746499">
      <w:pPr>
        <w:pStyle w:val="ListParagraph"/>
        <w:tabs>
          <w:tab w:val="left" w:pos="1170"/>
        </w:tabs>
        <w:ind w:left="810" w:right="720"/>
        <w:rPr>
          <w:color w:val="000000"/>
        </w:rPr>
      </w:pPr>
    </w:p>
    <w:p w14:paraId="2CB96009" w14:textId="7D153740" w:rsidR="004820B0" w:rsidRPr="004844C0" w:rsidRDefault="00677F8A" w:rsidP="009B0AAB">
      <w:pPr>
        <w:pStyle w:val="Heading2"/>
        <w:numPr>
          <w:ilvl w:val="0"/>
          <w:numId w:val="10"/>
        </w:numPr>
        <w:tabs>
          <w:tab w:val="left" w:pos="1170"/>
        </w:tabs>
        <w:ind w:left="810" w:right="720" w:hanging="450"/>
        <w:jc w:val="both"/>
        <w:rPr>
          <w:rFonts w:ascii="Times New Roman" w:hAnsi="Times New Roman"/>
          <w:color w:val="000000"/>
          <w:spacing w:val="-3"/>
          <w:sz w:val="20"/>
          <w:lang w:val="en-GB"/>
        </w:rPr>
      </w:pPr>
      <w:r w:rsidRPr="004844C0">
        <w:rPr>
          <w:rFonts w:ascii="Times New Roman" w:hAnsi="Times New Roman"/>
          <w:bCs/>
          <w:color w:val="000000"/>
          <w:sz w:val="24"/>
          <w:szCs w:val="24"/>
          <w:lang w:val="en-GB"/>
        </w:rPr>
        <w:t xml:space="preserve">Programme </w:t>
      </w:r>
      <w:r w:rsidR="00B54E3B">
        <w:rPr>
          <w:rFonts w:ascii="Times New Roman" w:hAnsi="Times New Roman"/>
          <w:bCs/>
          <w:color w:val="000000"/>
          <w:sz w:val="24"/>
          <w:szCs w:val="24"/>
          <w:lang w:val="en-GB"/>
        </w:rPr>
        <w:t>p</w:t>
      </w:r>
      <w:r w:rsidR="00B54E3B" w:rsidRPr="004844C0">
        <w:rPr>
          <w:rFonts w:ascii="Times New Roman" w:hAnsi="Times New Roman"/>
          <w:bCs/>
          <w:color w:val="000000"/>
          <w:sz w:val="24"/>
          <w:szCs w:val="24"/>
          <w:lang w:val="en-GB"/>
        </w:rPr>
        <w:t xml:space="preserve">riorities </w:t>
      </w:r>
      <w:r w:rsidR="004736BE" w:rsidRPr="004844C0">
        <w:rPr>
          <w:rFonts w:ascii="Times New Roman" w:hAnsi="Times New Roman"/>
          <w:bCs/>
          <w:color w:val="000000"/>
          <w:sz w:val="24"/>
          <w:szCs w:val="24"/>
          <w:lang w:val="en-GB"/>
        </w:rPr>
        <w:t xml:space="preserve">and </w:t>
      </w:r>
      <w:r w:rsidR="00B54E3B">
        <w:rPr>
          <w:rFonts w:ascii="Times New Roman" w:hAnsi="Times New Roman"/>
          <w:bCs/>
          <w:color w:val="000000"/>
          <w:sz w:val="24"/>
          <w:szCs w:val="24"/>
          <w:lang w:val="en-GB"/>
        </w:rPr>
        <w:t>p</w:t>
      </w:r>
      <w:r w:rsidR="00B54E3B" w:rsidRPr="004844C0">
        <w:rPr>
          <w:rFonts w:ascii="Times New Roman" w:hAnsi="Times New Roman"/>
          <w:bCs/>
          <w:color w:val="000000"/>
          <w:sz w:val="24"/>
          <w:szCs w:val="24"/>
          <w:lang w:val="en-GB"/>
        </w:rPr>
        <w:t xml:space="preserve">artnerships </w:t>
      </w:r>
    </w:p>
    <w:p w14:paraId="5EA5F343" w14:textId="77777777" w:rsidR="002E1495" w:rsidRPr="004844C0" w:rsidRDefault="002E1495" w:rsidP="00746499">
      <w:pPr>
        <w:tabs>
          <w:tab w:val="left" w:pos="1170"/>
        </w:tabs>
        <w:ind w:left="810" w:right="720"/>
        <w:rPr>
          <w:lang w:val="en-GB"/>
        </w:rPr>
      </w:pPr>
    </w:p>
    <w:p w14:paraId="04BC54FA" w14:textId="5D78DED4" w:rsidR="00844F9B" w:rsidRPr="00B46A94" w:rsidRDefault="00761BF3" w:rsidP="009B0AAB">
      <w:pPr>
        <w:pStyle w:val="ListParagraph"/>
        <w:numPr>
          <w:ilvl w:val="0"/>
          <w:numId w:val="2"/>
        </w:numPr>
        <w:tabs>
          <w:tab w:val="left" w:pos="1170"/>
        </w:tabs>
        <w:spacing w:after="120"/>
        <w:ind w:left="810" w:right="720" w:firstLine="0"/>
        <w:jc w:val="both"/>
        <w:rPr>
          <w:lang w:val="en-GB"/>
        </w:rPr>
      </w:pPr>
      <w:r w:rsidRPr="00B46A94">
        <w:rPr>
          <w:lang w:val="en-GB"/>
        </w:rPr>
        <w:t xml:space="preserve">This country programme document </w:t>
      </w:r>
      <w:r w:rsidR="005E6C48">
        <w:rPr>
          <w:lang w:val="en-GB"/>
        </w:rPr>
        <w:t xml:space="preserve">(CPD) </w:t>
      </w:r>
      <w:r w:rsidRPr="00B46A94">
        <w:rPr>
          <w:lang w:val="en-GB"/>
        </w:rPr>
        <w:t xml:space="preserve">has benefited from broad-based consultations with all relevant stakeholders. It is fully aligned with national priorities and </w:t>
      </w:r>
      <w:r w:rsidR="00081778">
        <w:rPr>
          <w:lang w:val="en-GB"/>
        </w:rPr>
        <w:t xml:space="preserve">the </w:t>
      </w:r>
      <w:r w:rsidRPr="00B46A94">
        <w:rPr>
          <w:lang w:val="en-GB"/>
        </w:rPr>
        <w:t xml:space="preserve">country’s commitment to pursue the European vector </w:t>
      </w:r>
      <w:r w:rsidR="00B46A94">
        <w:rPr>
          <w:lang w:val="en-GB"/>
        </w:rPr>
        <w:t xml:space="preserve">and achieve the </w:t>
      </w:r>
      <w:r w:rsidR="00B54E3B">
        <w:rPr>
          <w:lang w:val="en-GB"/>
        </w:rPr>
        <w:t xml:space="preserve">Sustainable Development </w:t>
      </w:r>
      <w:r w:rsidR="00B46A94">
        <w:rPr>
          <w:lang w:val="en-GB"/>
        </w:rPr>
        <w:t xml:space="preserve">Goals. </w:t>
      </w:r>
      <w:r w:rsidR="00F205C0" w:rsidRPr="00B46A94">
        <w:rPr>
          <w:lang w:val="en-GB"/>
        </w:rPr>
        <w:t xml:space="preserve">The overarching goal of the programme </w:t>
      </w:r>
      <w:r w:rsidRPr="00B46A94">
        <w:rPr>
          <w:lang w:val="en-GB"/>
        </w:rPr>
        <w:t xml:space="preserve">derives from the </w:t>
      </w:r>
      <w:r w:rsidR="00B54E3B">
        <w:rPr>
          <w:lang w:val="en-GB"/>
        </w:rPr>
        <w:t xml:space="preserve">vision of the </w:t>
      </w:r>
      <w:r w:rsidR="00844F9B" w:rsidRPr="00B46A94">
        <w:rPr>
          <w:lang w:val="en-GB"/>
        </w:rPr>
        <w:t>UNDAF</w:t>
      </w:r>
      <w:r w:rsidR="005E6C48">
        <w:rPr>
          <w:lang w:val="en-GB"/>
        </w:rPr>
        <w:t>,</w:t>
      </w:r>
      <w:r w:rsidR="00844F9B" w:rsidRPr="00B46A94">
        <w:rPr>
          <w:lang w:val="en-GB"/>
        </w:rPr>
        <w:t xml:space="preserve"> </w:t>
      </w:r>
      <w:r w:rsidRPr="00B46A94">
        <w:rPr>
          <w:lang w:val="en-GB"/>
        </w:rPr>
        <w:t xml:space="preserve">2018-2022 </w:t>
      </w:r>
      <w:r w:rsidR="00844F9B" w:rsidRPr="00B46A94">
        <w:rPr>
          <w:lang w:val="en-GB"/>
        </w:rPr>
        <w:t xml:space="preserve">of a country free from poverty and corruption, with reduced inequalities and strengthened social </w:t>
      </w:r>
      <w:r w:rsidR="007B5373" w:rsidRPr="00B46A94">
        <w:rPr>
          <w:lang w:val="en-GB"/>
        </w:rPr>
        <w:t xml:space="preserve">cohesion and </w:t>
      </w:r>
      <w:r w:rsidR="00844F9B" w:rsidRPr="00B46A94">
        <w:rPr>
          <w:lang w:val="en-GB"/>
        </w:rPr>
        <w:t>inclusion, where human rights, gender equality,</w:t>
      </w:r>
      <w:r w:rsidR="003A6E03" w:rsidRPr="00B46A94">
        <w:rPr>
          <w:lang w:val="en-GB"/>
        </w:rPr>
        <w:t xml:space="preserve"> the</w:t>
      </w:r>
      <w:r w:rsidR="00844F9B" w:rsidRPr="00B46A94">
        <w:rPr>
          <w:lang w:val="en-GB"/>
        </w:rPr>
        <w:t xml:space="preserve"> rule of law, environmental sustainability and the well-being of the population</w:t>
      </w:r>
      <w:r w:rsidR="00F205C0" w:rsidRPr="00B46A94">
        <w:rPr>
          <w:lang w:val="en-GB"/>
        </w:rPr>
        <w:t>, across the conflict divide, are nurtured and respected</w:t>
      </w:r>
      <w:r w:rsidR="00B34541" w:rsidRPr="00B46A94">
        <w:rPr>
          <w:lang w:val="en-GB"/>
        </w:rPr>
        <w:t xml:space="preserve">. </w:t>
      </w:r>
      <w:r w:rsidR="00844F9B" w:rsidRPr="00B46A94">
        <w:rPr>
          <w:lang w:val="en-GB"/>
        </w:rPr>
        <w:t xml:space="preserve">UNDP will pursue three of the four UNDAF outcomes: </w:t>
      </w:r>
      <w:r w:rsidR="00B54E3B">
        <w:rPr>
          <w:lang w:val="en-GB"/>
        </w:rPr>
        <w:t>(a) g</w:t>
      </w:r>
      <w:r w:rsidR="00B54E3B" w:rsidRPr="00B54E3B">
        <w:rPr>
          <w:lang w:val="en-GB"/>
        </w:rPr>
        <w:t>overnance</w:t>
      </w:r>
      <w:r w:rsidR="00844F9B" w:rsidRPr="00B54E3B">
        <w:rPr>
          <w:lang w:val="en-GB"/>
        </w:rPr>
        <w:t xml:space="preserve">, </w:t>
      </w:r>
      <w:r w:rsidR="00B54E3B">
        <w:rPr>
          <w:lang w:val="en-GB"/>
        </w:rPr>
        <w:t>h</w:t>
      </w:r>
      <w:r w:rsidR="00B54E3B" w:rsidRPr="00B54E3B">
        <w:rPr>
          <w:lang w:val="en-GB"/>
        </w:rPr>
        <w:t xml:space="preserve">uman </w:t>
      </w:r>
      <w:r w:rsidR="00B54E3B">
        <w:rPr>
          <w:lang w:val="en-GB"/>
        </w:rPr>
        <w:t>r</w:t>
      </w:r>
      <w:r w:rsidR="00B54E3B" w:rsidRPr="00B54E3B">
        <w:rPr>
          <w:lang w:val="en-GB"/>
        </w:rPr>
        <w:t xml:space="preserve">ights </w:t>
      </w:r>
      <w:r w:rsidR="00844F9B" w:rsidRPr="00B54E3B">
        <w:rPr>
          <w:lang w:val="en-GB"/>
        </w:rPr>
        <w:t xml:space="preserve">and </w:t>
      </w:r>
      <w:r w:rsidR="00B54E3B">
        <w:rPr>
          <w:lang w:val="en-GB"/>
        </w:rPr>
        <w:t>g</w:t>
      </w:r>
      <w:r w:rsidR="00B54E3B" w:rsidRPr="00B54E3B">
        <w:rPr>
          <w:lang w:val="en-GB"/>
        </w:rPr>
        <w:t xml:space="preserve">ender </w:t>
      </w:r>
      <w:r w:rsidR="00B54E3B">
        <w:rPr>
          <w:lang w:val="en-GB"/>
        </w:rPr>
        <w:t>e</w:t>
      </w:r>
      <w:r w:rsidR="00B54E3B" w:rsidRPr="00B54E3B">
        <w:rPr>
          <w:lang w:val="en-GB"/>
        </w:rPr>
        <w:t>quality</w:t>
      </w:r>
      <w:r w:rsidR="00844F9B" w:rsidRPr="00B54E3B">
        <w:rPr>
          <w:lang w:val="en-GB"/>
        </w:rPr>
        <w:t xml:space="preserve">; </w:t>
      </w:r>
      <w:r w:rsidR="00B54E3B">
        <w:rPr>
          <w:lang w:val="en-GB"/>
        </w:rPr>
        <w:t>(b) s</w:t>
      </w:r>
      <w:r w:rsidR="00B54E3B" w:rsidRPr="00B54E3B">
        <w:rPr>
          <w:lang w:val="en-GB"/>
        </w:rPr>
        <w:t>ustainable</w:t>
      </w:r>
      <w:r w:rsidR="00844F9B" w:rsidRPr="00B54E3B">
        <w:rPr>
          <w:lang w:val="en-GB"/>
        </w:rPr>
        <w:t xml:space="preserve">, </w:t>
      </w:r>
      <w:r w:rsidR="00B54E3B">
        <w:rPr>
          <w:lang w:val="en-GB"/>
        </w:rPr>
        <w:t>i</w:t>
      </w:r>
      <w:r w:rsidR="00B54E3B" w:rsidRPr="00B54E3B">
        <w:rPr>
          <w:lang w:val="en-GB"/>
        </w:rPr>
        <w:t xml:space="preserve">nclusive </w:t>
      </w:r>
      <w:r w:rsidR="00844F9B" w:rsidRPr="00B54E3B">
        <w:rPr>
          <w:lang w:val="en-GB"/>
        </w:rPr>
        <w:t xml:space="preserve">and </w:t>
      </w:r>
      <w:r w:rsidR="00B54E3B">
        <w:rPr>
          <w:lang w:val="en-GB"/>
        </w:rPr>
        <w:t>e</w:t>
      </w:r>
      <w:r w:rsidR="00B54E3B" w:rsidRPr="00B54E3B">
        <w:rPr>
          <w:lang w:val="en-GB"/>
        </w:rPr>
        <w:t xml:space="preserve">quitable </w:t>
      </w:r>
      <w:r w:rsidR="00B54E3B">
        <w:rPr>
          <w:lang w:val="en-GB"/>
        </w:rPr>
        <w:t>e</w:t>
      </w:r>
      <w:r w:rsidR="00B54E3B" w:rsidRPr="00B54E3B">
        <w:rPr>
          <w:lang w:val="en-GB"/>
        </w:rPr>
        <w:t xml:space="preserve">conomic </w:t>
      </w:r>
      <w:r w:rsidR="00B54E3B">
        <w:rPr>
          <w:lang w:val="en-GB"/>
        </w:rPr>
        <w:t>g</w:t>
      </w:r>
      <w:r w:rsidR="00B54E3B" w:rsidRPr="00B54E3B">
        <w:rPr>
          <w:lang w:val="en-GB"/>
        </w:rPr>
        <w:t>rowth</w:t>
      </w:r>
      <w:r w:rsidR="00844F9B" w:rsidRPr="00B54E3B">
        <w:rPr>
          <w:lang w:val="en-GB"/>
        </w:rPr>
        <w:t xml:space="preserve">; and </w:t>
      </w:r>
      <w:r w:rsidR="00B54E3B">
        <w:rPr>
          <w:lang w:val="en-GB"/>
        </w:rPr>
        <w:t>(c) e</w:t>
      </w:r>
      <w:r w:rsidR="00B54E3B" w:rsidRPr="00B54E3B">
        <w:rPr>
          <w:lang w:val="en-GB"/>
        </w:rPr>
        <w:t xml:space="preserve">nvironmental </w:t>
      </w:r>
      <w:r w:rsidR="00B54E3B">
        <w:rPr>
          <w:lang w:val="en-GB"/>
        </w:rPr>
        <w:t>s</w:t>
      </w:r>
      <w:r w:rsidR="00B54E3B" w:rsidRPr="00B54E3B">
        <w:rPr>
          <w:lang w:val="en-GB"/>
        </w:rPr>
        <w:t xml:space="preserve">ustainability </w:t>
      </w:r>
      <w:r w:rsidR="00844F9B" w:rsidRPr="00B54E3B">
        <w:rPr>
          <w:lang w:val="en-GB"/>
        </w:rPr>
        <w:t xml:space="preserve">and </w:t>
      </w:r>
      <w:r w:rsidR="00B54E3B">
        <w:rPr>
          <w:lang w:val="en-GB"/>
        </w:rPr>
        <w:t>r</w:t>
      </w:r>
      <w:r w:rsidR="00B54E3B" w:rsidRPr="00B54E3B">
        <w:rPr>
          <w:lang w:val="en-GB"/>
        </w:rPr>
        <w:t>esilience</w:t>
      </w:r>
      <w:r w:rsidR="00844F9B" w:rsidRPr="00B54E3B">
        <w:rPr>
          <w:lang w:val="en-GB"/>
        </w:rPr>
        <w:t>.</w:t>
      </w:r>
      <w:r w:rsidR="00844F9B" w:rsidRPr="00B46A94">
        <w:rPr>
          <w:i/>
          <w:lang w:val="en-GB"/>
        </w:rPr>
        <w:t xml:space="preserve"> </w:t>
      </w:r>
    </w:p>
    <w:p w14:paraId="0177EA5F" w14:textId="5848D2FE" w:rsidR="00761BF3" w:rsidRDefault="00761BF3" w:rsidP="009B0AAB">
      <w:pPr>
        <w:numPr>
          <w:ilvl w:val="0"/>
          <w:numId w:val="2"/>
        </w:numPr>
        <w:tabs>
          <w:tab w:val="left" w:pos="1170"/>
        </w:tabs>
        <w:spacing w:after="120"/>
        <w:ind w:left="810" w:right="720" w:firstLine="0"/>
        <w:jc w:val="both"/>
        <w:rPr>
          <w:lang w:val="en-GB"/>
        </w:rPr>
      </w:pPr>
      <w:r w:rsidRPr="00CF5F53">
        <w:rPr>
          <w:lang w:val="en-GB"/>
        </w:rPr>
        <w:t xml:space="preserve">The programme builds on </w:t>
      </w:r>
      <w:r>
        <w:rPr>
          <w:lang w:val="en-GB"/>
        </w:rPr>
        <w:t xml:space="preserve">the </w:t>
      </w:r>
      <w:r w:rsidRPr="00CF5F53">
        <w:rPr>
          <w:lang w:val="en-GB"/>
        </w:rPr>
        <w:t xml:space="preserve">lessons </w:t>
      </w:r>
      <w:r w:rsidR="00B54E3B" w:rsidRPr="00CF5F53">
        <w:rPr>
          <w:lang w:val="en-GB"/>
        </w:rPr>
        <w:t>learn</w:t>
      </w:r>
      <w:r w:rsidR="00B54E3B">
        <w:rPr>
          <w:lang w:val="en-GB"/>
        </w:rPr>
        <w:t>ed</w:t>
      </w:r>
      <w:r w:rsidR="00B54E3B" w:rsidRPr="00CF5F53">
        <w:rPr>
          <w:lang w:val="en-GB"/>
        </w:rPr>
        <w:t xml:space="preserve"> </w:t>
      </w:r>
      <w:r w:rsidRPr="00CF5F53">
        <w:rPr>
          <w:lang w:val="en-GB"/>
        </w:rPr>
        <w:t xml:space="preserve">from </w:t>
      </w:r>
      <w:r>
        <w:rPr>
          <w:lang w:val="en-GB"/>
        </w:rPr>
        <w:t xml:space="preserve">the </w:t>
      </w:r>
      <w:r w:rsidRPr="00CF5F53">
        <w:rPr>
          <w:lang w:val="en-GB"/>
        </w:rPr>
        <w:t>previous cycle</w:t>
      </w:r>
      <w:r>
        <w:rPr>
          <w:lang w:val="en-GB"/>
        </w:rPr>
        <w:t xml:space="preserve"> and </w:t>
      </w:r>
      <w:r w:rsidR="00B54E3B">
        <w:rPr>
          <w:lang w:val="en-GB"/>
        </w:rPr>
        <w:t>emphasizes</w:t>
      </w:r>
      <w:r w:rsidR="00B54E3B" w:rsidRPr="00CF5F53">
        <w:rPr>
          <w:lang w:val="en-GB"/>
        </w:rPr>
        <w:t xml:space="preserve"> </w:t>
      </w:r>
      <w:r w:rsidRPr="00CF5F53">
        <w:rPr>
          <w:lang w:val="en-GB"/>
        </w:rPr>
        <w:t xml:space="preserve">the importance of: </w:t>
      </w:r>
      <w:r w:rsidR="00B54E3B">
        <w:rPr>
          <w:lang w:val="en-GB"/>
        </w:rPr>
        <w:t>(a</w:t>
      </w:r>
      <w:r w:rsidRPr="00CF5F53">
        <w:rPr>
          <w:lang w:val="en-GB"/>
        </w:rPr>
        <w:t>) enhancing advocacy efforts</w:t>
      </w:r>
      <w:r>
        <w:rPr>
          <w:lang w:val="en-GB"/>
        </w:rPr>
        <w:t>, building resilience</w:t>
      </w:r>
      <w:r w:rsidR="00B54E3B">
        <w:rPr>
          <w:lang w:val="en-GB"/>
        </w:rPr>
        <w:t xml:space="preserve">, </w:t>
      </w:r>
      <w:r>
        <w:rPr>
          <w:lang w:val="en-GB"/>
        </w:rPr>
        <w:t>investing in the right targets, raising awareness,</w:t>
      </w:r>
      <w:r w:rsidRPr="00CF5F53">
        <w:rPr>
          <w:lang w:val="en-GB"/>
        </w:rPr>
        <w:t xml:space="preserve"> engaging </w:t>
      </w:r>
      <w:r>
        <w:rPr>
          <w:lang w:val="en-GB"/>
        </w:rPr>
        <w:t xml:space="preserve">and securing </w:t>
      </w:r>
      <w:r w:rsidR="00B54E3B">
        <w:rPr>
          <w:lang w:val="en-GB"/>
        </w:rPr>
        <w:t xml:space="preserve">the  </w:t>
      </w:r>
      <w:r>
        <w:rPr>
          <w:lang w:val="en-GB"/>
        </w:rPr>
        <w:t xml:space="preserve">support </w:t>
      </w:r>
      <w:r w:rsidR="00B54E3B">
        <w:rPr>
          <w:lang w:val="en-GB"/>
        </w:rPr>
        <w:t xml:space="preserve">of </w:t>
      </w:r>
      <w:r w:rsidR="00B54E3B" w:rsidRPr="00CF5F53">
        <w:rPr>
          <w:lang w:val="en-GB"/>
        </w:rPr>
        <w:t>stakeholders</w:t>
      </w:r>
      <w:r w:rsidR="00B54E3B">
        <w:rPr>
          <w:lang w:val="en-GB"/>
        </w:rPr>
        <w:t xml:space="preserve">  for</w:t>
      </w:r>
      <w:r>
        <w:rPr>
          <w:lang w:val="en-GB"/>
        </w:rPr>
        <w:t xml:space="preserve"> the reform agenda and generating demand for change; </w:t>
      </w:r>
      <w:r w:rsidR="00B54E3B">
        <w:rPr>
          <w:lang w:val="en-GB"/>
        </w:rPr>
        <w:t>(b</w:t>
      </w:r>
      <w:r w:rsidRPr="00CF5F53">
        <w:rPr>
          <w:lang w:val="en-GB"/>
        </w:rPr>
        <w:t xml:space="preserve">) </w:t>
      </w:r>
      <w:r>
        <w:rPr>
          <w:lang w:val="en-GB"/>
        </w:rPr>
        <w:t>fostering synergies and cross-linkages  between program</w:t>
      </w:r>
      <w:r w:rsidR="00B54E3B">
        <w:rPr>
          <w:lang w:val="en-GB"/>
        </w:rPr>
        <w:t>me</w:t>
      </w:r>
      <w:r>
        <w:rPr>
          <w:lang w:val="en-GB"/>
        </w:rPr>
        <w:t xml:space="preserve">s and projects; </w:t>
      </w:r>
      <w:r w:rsidR="00CA673F">
        <w:rPr>
          <w:lang w:val="en-GB"/>
        </w:rPr>
        <w:t>(c</w:t>
      </w:r>
      <w:r>
        <w:rPr>
          <w:lang w:val="en-GB"/>
        </w:rPr>
        <w:t xml:space="preserve">) mainstreaming gender equality, human rights and environmental sustainability in all interventions; </w:t>
      </w:r>
      <w:r w:rsidR="00CA673F">
        <w:rPr>
          <w:lang w:val="en-GB"/>
        </w:rPr>
        <w:t>(d</w:t>
      </w:r>
      <w:r>
        <w:rPr>
          <w:lang w:val="en-GB"/>
        </w:rPr>
        <w:t xml:space="preserve">) leveraging the potential of innovation, </w:t>
      </w:r>
      <w:r w:rsidR="00CA673F">
        <w:rPr>
          <w:lang w:val="en-GB"/>
        </w:rPr>
        <w:t xml:space="preserve">information communication technology </w:t>
      </w:r>
      <w:r w:rsidR="005179C0">
        <w:rPr>
          <w:lang w:val="en-GB"/>
        </w:rPr>
        <w:t>(</w:t>
      </w:r>
      <w:r>
        <w:rPr>
          <w:lang w:val="en-GB"/>
        </w:rPr>
        <w:t>ICT</w:t>
      </w:r>
      <w:r w:rsidR="005179C0">
        <w:rPr>
          <w:lang w:val="en-GB"/>
        </w:rPr>
        <w:t>)</w:t>
      </w:r>
      <w:r>
        <w:rPr>
          <w:lang w:val="en-GB"/>
        </w:rPr>
        <w:t>, and big data for evidence-based policy</w:t>
      </w:r>
      <w:r w:rsidR="00CA673F">
        <w:rPr>
          <w:lang w:val="en-GB"/>
        </w:rPr>
        <w:t>making</w:t>
      </w:r>
      <w:r>
        <w:rPr>
          <w:lang w:val="en-GB"/>
        </w:rPr>
        <w:t xml:space="preserve"> and decision-making; </w:t>
      </w:r>
      <w:r w:rsidR="00CA673F">
        <w:rPr>
          <w:lang w:val="en-GB"/>
        </w:rPr>
        <w:t>(e</w:t>
      </w:r>
      <w:r>
        <w:rPr>
          <w:lang w:val="en-GB"/>
        </w:rPr>
        <w:t xml:space="preserve">) building effective, transparent, accountable and corruption-free institutions; </w:t>
      </w:r>
      <w:r w:rsidR="00CA673F">
        <w:rPr>
          <w:lang w:val="en-GB"/>
        </w:rPr>
        <w:t>and (f</w:t>
      </w:r>
      <w:r>
        <w:rPr>
          <w:lang w:val="en-GB"/>
        </w:rPr>
        <w:t>) strengthening voice and accountability mechanisms and promoting social inclusion and social cohesion.</w:t>
      </w:r>
    </w:p>
    <w:p w14:paraId="38E56281" w14:textId="1E3F7CF8" w:rsidR="00761BF3" w:rsidRPr="00761BF3" w:rsidRDefault="00761BF3" w:rsidP="009B0AAB">
      <w:pPr>
        <w:numPr>
          <w:ilvl w:val="0"/>
          <w:numId w:val="2"/>
        </w:numPr>
        <w:tabs>
          <w:tab w:val="left" w:pos="1170"/>
        </w:tabs>
        <w:spacing w:after="120"/>
        <w:ind w:left="810" w:right="720" w:firstLine="0"/>
        <w:jc w:val="both"/>
        <w:rPr>
          <w:lang w:val="en-GB"/>
        </w:rPr>
      </w:pPr>
      <w:r w:rsidRPr="00A723ED">
        <w:rPr>
          <w:color w:val="000000"/>
        </w:rPr>
        <w:t>Thematic alignment will be expanded</w:t>
      </w:r>
      <w:r>
        <w:rPr>
          <w:color w:val="000000"/>
        </w:rPr>
        <w:t xml:space="preserve">, sharpening </w:t>
      </w:r>
      <w:r w:rsidRPr="00A723ED">
        <w:rPr>
          <w:color w:val="000000"/>
        </w:rPr>
        <w:t xml:space="preserve">the </w:t>
      </w:r>
      <w:r>
        <w:rPr>
          <w:color w:val="000000"/>
        </w:rPr>
        <w:t xml:space="preserve">programme </w:t>
      </w:r>
      <w:r w:rsidRPr="00A723ED">
        <w:rPr>
          <w:color w:val="000000"/>
        </w:rPr>
        <w:t xml:space="preserve">focus by better targeting </w:t>
      </w:r>
      <w:r>
        <w:rPr>
          <w:color w:val="000000"/>
        </w:rPr>
        <w:t>groups that are underrepresented and marginalized,</w:t>
      </w:r>
      <w:r w:rsidRPr="00A723ED">
        <w:rPr>
          <w:color w:val="000000"/>
        </w:rPr>
        <w:t xml:space="preserve"> </w:t>
      </w:r>
      <w:r>
        <w:rPr>
          <w:color w:val="000000"/>
        </w:rPr>
        <w:t xml:space="preserve">so </w:t>
      </w:r>
      <w:r w:rsidRPr="00A723ED">
        <w:rPr>
          <w:color w:val="000000"/>
        </w:rPr>
        <w:t xml:space="preserve">no one is left behind. </w:t>
      </w:r>
      <w:r w:rsidR="00B46A94">
        <w:rPr>
          <w:color w:val="000000"/>
        </w:rPr>
        <w:t>UNDP</w:t>
      </w:r>
      <w:r>
        <w:rPr>
          <w:color w:val="000000"/>
        </w:rPr>
        <w:t xml:space="preserve"> </w:t>
      </w:r>
      <w:r w:rsidRPr="00A723ED">
        <w:rPr>
          <w:color w:val="000000"/>
        </w:rPr>
        <w:t xml:space="preserve">will reach out to the most vulnerable </w:t>
      </w:r>
      <w:r>
        <w:rPr>
          <w:color w:val="000000"/>
        </w:rPr>
        <w:t>segments of society</w:t>
      </w:r>
      <w:r w:rsidRPr="00A723ED">
        <w:rPr>
          <w:color w:val="000000"/>
        </w:rPr>
        <w:t>, including rural women and youth, long-term unemployed, people with disabilities and Roma</w:t>
      </w:r>
      <w:r w:rsidR="003F468C">
        <w:rPr>
          <w:color w:val="000000"/>
        </w:rPr>
        <w:t>, engaging them in programme implementation and design</w:t>
      </w:r>
      <w:r w:rsidRPr="00A723ED">
        <w:rPr>
          <w:color w:val="000000"/>
        </w:rPr>
        <w:t xml:space="preserve">. </w:t>
      </w:r>
      <w:r>
        <w:rPr>
          <w:color w:val="000000"/>
        </w:rPr>
        <w:t>Deprived communities and r</w:t>
      </w:r>
      <w:r w:rsidRPr="00A723ED">
        <w:rPr>
          <w:color w:val="000000"/>
        </w:rPr>
        <w:t xml:space="preserve">egions with special status, such as </w:t>
      </w:r>
      <w:r w:rsidR="00082DE4" w:rsidRPr="00A723ED">
        <w:rPr>
          <w:color w:val="000000"/>
        </w:rPr>
        <w:t>Gagauzia</w:t>
      </w:r>
      <w:r w:rsidR="00082DE4">
        <w:rPr>
          <w:color w:val="000000"/>
        </w:rPr>
        <w:t>,</w:t>
      </w:r>
      <w:r w:rsidRPr="00A723ED">
        <w:rPr>
          <w:color w:val="000000"/>
        </w:rPr>
        <w:t xml:space="preserve"> </w:t>
      </w:r>
      <w:r w:rsidR="00AE6FBB">
        <w:rPr>
          <w:color w:val="000000"/>
        </w:rPr>
        <w:t xml:space="preserve">Taraclia and the </w:t>
      </w:r>
      <w:r w:rsidRPr="00A723ED">
        <w:rPr>
          <w:color w:val="000000"/>
        </w:rPr>
        <w:t>Transnistria</w:t>
      </w:r>
      <w:r w:rsidR="00AE6FBB">
        <w:rPr>
          <w:color w:val="000000"/>
        </w:rPr>
        <w:t xml:space="preserve">n </w:t>
      </w:r>
      <w:r w:rsidR="00CA673F">
        <w:rPr>
          <w:color w:val="000000"/>
        </w:rPr>
        <w:t>region</w:t>
      </w:r>
      <w:r w:rsidRPr="00A723ED">
        <w:rPr>
          <w:color w:val="000000"/>
        </w:rPr>
        <w:t>, will</w:t>
      </w:r>
      <w:r w:rsidR="00453666">
        <w:rPr>
          <w:color w:val="000000"/>
        </w:rPr>
        <w:t xml:space="preserve"> continue receiving tailor-made, contextualized </w:t>
      </w:r>
      <w:r w:rsidRPr="00A723ED">
        <w:rPr>
          <w:color w:val="000000"/>
        </w:rPr>
        <w:t>assistance aim</w:t>
      </w:r>
      <w:r w:rsidR="00AE6FBB">
        <w:rPr>
          <w:color w:val="000000"/>
        </w:rPr>
        <w:t>ed</w:t>
      </w:r>
      <w:r w:rsidRPr="00A723ED">
        <w:rPr>
          <w:color w:val="000000"/>
        </w:rPr>
        <w:t xml:space="preserve"> at improving livelihoods, str</w:t>
      </w:r>
      <w:r w:rsidR="00453666">
        <w:rPr>
          <w:color w:val="000000"/>
        </w:rPr>
        <w:t xml:space="preserve">engthening resilience, building </w:t>
      </w:r>
      <w:r w:rsidRPr="00A723ED">
        <w:rPr>
          <w:color w:val="000000"/>
        </w:rPr>
        <w:t xml:space="preserve">trust between communities, supporting </w:t>
      </w:r>
      <w:r w:rsidR="00453666">
        <w:rPr>
          <w:color w:val="000000"/>
        </w:rPr>
        <w:t>business</w:t>
      </w:r>
      <w:r w:rsidRPr="00A723ED">
        <w:rPr>
          <w:color w:val="000000"/>
        </w:rPr>
        <w:t xml:space="preserve"> development, promoting employment generation and green jobs, </w:t>
      </w:r>
      <w:r w:rsidR="00AE6FBB">
        <w:rPr>
          <w:color w:val="000000"/>
        </w:rPr>
        <w:t xml:space="preserve">and </w:t>
      </w:r>
      <w:r w:rsidRPr="00A723ED">
        <w:rPr>
          <w:color w:val="000000"/>
        </w:rPr>
        <w:t>providing access to justice and quality social services</w:t>
      </w:r>
      <w:r>
        <w:rPr>
          <w:color w:val="000000"/>
        </w:rPr>
        <w:t>.</w:t>
      </w:r>
    </w:p>
    <w:p w14:paraId="68D51B18" w14:textId="691632AA" w:rsidR="00CA673F" w:rsidRDefault="00CA673F" w:rsidP="009B0AAB">
      <w:pPr>
        <w:tabs>
          <w:tab w:val="left" w:pos="1170"/>
        </w:tabs>
        <w:autoSpaceDE w:val="0"/>
        <w:autoSpaceDN w:val="0"/>
        <w:adjustRightInd w:val="0"/>
        <w:spacing w:after="120"/>
        <w:ind w:left="810" w:right="720"/>
        <w:jc w:val="both"/>
        <w:rPr>
          <w:b/>
          <w:lang w:val="en-GB" w:eastAsia="en-GB"/>
        </w:rPr>
      </w:pPr>
      <w:r w:rsidRPr="00CA673F">
        <w:rPr>
          <w:b/>
          <w:lang w:val="en-GB" w:eastAsia="en-GB"/>
        </w:rPr>
        <w:t>Pillar 1. Governance, human rights and gender equality</w:t>
      </w:r>
    </w:p>
    <w:p w14:paraId="1A71664F" w14:textId="541D3565" w:rsidR="009708B1" w:rsidRPr="00602B86" w:rsidRDefault="009708B1" w:rsidP="009B0AAB">
      <w:pPr>
        <w:numPr>
          <w:ilvl w:val="0"/>
          <w:numId w:val="2"/>
        </w:numPr>
        <w:tabs>
          <w:tab w:val="left" w:pos="1170"/>
        </w:tabs>
        <w:autoSpaceDE w:val="0"/>
        <w:autoSpaceDN w:val="0"/>
        <w:adjustRightInd w:val="0"/>
        <w:spacing w:after="120"/>
        <w:ind w:left="810" w:right="720" w:firstLine="0"/>
        <w:jc w:val="both"/>
        <w:rPr>
          <w:lang w:val="en-GB"/>
        </w:rPr>
      </w:pPr>
      <w:r w:rsidRPr="001F118F">
        <w:rPr>
          <w:lang w:val="en-GB"/>
        </w:rPr>
        <w:t xml:space="preserve">Based on its </w:t>
      </w:r>
      <w:r>
        <w:rPr>
          <w:lang w:val="en-GB"/>
        </w:rPr>
        <w:t xml:space="preserve">proven track record </w:t>
      </w:r>
      <w:r w:rsidRPr="001F118F">
        <w:rPr>
          <w:lang w:val="en-GB"/>
        </w:rPr>
        <w:t xml:space="preserve">in capacity development, </w:t>
      </w:r>
      <w:r>
        <w:rPr>
          <w:lang w:val="en-GB"/>
        </w:rPr>
        <w:t xml:space="preserve">women’s empowerment, </w:t>
      </w:r>
      <w:r w:rsidRPr="001F118F">
        <w:rPr>
          <w:lang w:val="en-GB"/>
        </w:rPr>
        <w:t>advocacy</w:t>
      </w:r>
      <w:r>
        <w:rPr>
          <w:lang w:val="en-GB"/>
        </w:rPr>
        <w:t xml:space="preserve"> and</w:t>
      </w:r>
      <w:r w:rsidRPr="001F118F">
        <w:rPr>
          <w:lang w:val="en-GB"/>
        </w:rPr>
        <w:t xml:space="preserve"> policy dialogue, UNDP will </w:t>
      </w:r>
      <w:r>
        <w:rPr>
          <w:lang w:val="en-GB"/>
        </w:rPr>
        <w:t xml:space="preserve">frame its support </w:t>
      </w:r>
      <w:r w:rsidRPr="001F118F">
        <w:rPr>
          <w:lang w:val="en-GB"/>
        </w:rPr>
        <w:t xml:space="preserve">around </w:t>
      </w:r>
      <w:r w:rsidR="00CA673F">
        <w:rPr>
          <w:lang w:val="en-GB"/>
        </w:rPr>
        <w:t>Sustainable Development Goals</w:t>
      </w:r>
      <w:r w:rsidR="00CA673F" w:rsidRPr="001F118F">
        <w:rPr>
          <w:lang w:val="en-GB"/>
        </w:rPr>
        <w:t xml:space="preserve"> </w:t>
      </w:r>
      <w:r w:rsidRPr="001F118F">
        <w:rPr>
          <w:lang w:val="en-GB"/>
        </w:rPr>
        <w:t>5</w:t>
      </w:r>
      <w:r>
        <w:rPr>
          <w:lang w:val="en-GB"/>
        </w:rPr>
        <w:t>,</w:t>
      </w:r>
      <w:r w:rsidR="00C82A97">
        <w:rPr>
          <w:lang w:val="en-GB"/>
        </w:rPr>
        <w:t xml:space="preserve"> </w:t>
      </w:r>
      <w:r>
        <w:rPr>
          <w:lang w:val="en-GB"/>
        </w:rPr>
        <w:t>10</w:t>
      </w:r>
      <w:r w:rsidRPr="001F118F">
        <w:rPr>
          <w:lang w:val="en-GB"/>
        </w:rPr>
        <w:t xml:space="preserve"> and 16</w:t>
      </w:r>
      <w:r>
        <w:rPr>
          <w:lang w:val="en-GB"/>
        </w:rPr>
        <w:t xml:space="preserve">. </w:t>
      </w:r>
      <w:r w:rsidRPr="00602B86">
        <w:rPr>
          <w:lang w:val="en-GB"/>
        </w:rPr>
        <w:t xml:space="preserve">The </w:t>
      </w:r>
      <w:r>
        <w:rPr>
          <w:lang w:val="en-GB"/>
        </w:rPr>
        <w:t xml:space="preserve">capacity of the Government, the Parliament and local </w:t>
      </w:r>
      <w:r w:rsidRPr="004170DA">
        <w:rPr>
          <w:lang w:val="en-GB"/>
        </w:rPr>
        <w:t xml:space="preserve">representative bodies (including </w:t>
      </w:r>
      <w:r w:rsidR="00AE6FBB">
        <w:rPr>
          <w:lang w:val="en-GB"/>
        </w:rPr>
        <w:t xml:space="preserve">the </w:t>
      </w:r>
      <w:r w:rsidRPr="004170DA">
        <w:rPr>
          <w:lang w:val="en-GB"/>
        </w:rPr>
        <w:t xml:space="preserve">People’s Assembly from Gagauzia) </w:t>
      </w:r>
      <w:r w:rsidRPr="00602B86">
        <w:rPr>
          <w:lang w:val="en-GB"/>
        </w:rPr>
        <w:t>will be further enhanced</w:t>
      </w:r>
      <w:r>
        <w:rPr>
          <w:lang w:val="en-GB"/>
        </w:rPr>
        <w:t xml:space="preserve">, enabling them to better </w:t>
      </w:r>
      <w:r w:rsidRPr="00602B86">
        <w:rPr>
          <w:lang w:val="en-GB"/>
        </w:rPr>
        <w:t>address the needs of those underrepresented in decision-making, such as women, youth, persons with disabilities</w:t>
      </w:r>
      <w:r w:rsidR="00317ECB">
        <w:rPr>
          <w:lang w:val="en-GB"/>
        </w:rPr>
        <w:t xml:space="preserve"> and</w:t>
      </w:r>
      <w:r w:rsidR="00317ECB" w:rsidRPr="00602B86">
        <w:rPr>
          <w:lang w:val="en-GB"/>
        </w:rPr>
        <w:t xml:space="preserve"> </w:t>
      </w:r>
      <w:r w:rsidRPr="00602B86">
        <w:rPr>
          <w:lang w:val="en-GB"/>
        </w:rPr>
        <w:t>ethnic minorities</w:t>
      </w:r>
      <w:r>
        <w:rPr>
          <w:lang w:val="en-GB"/>
        </w:rPr>
        <w:t>,</w:t>
      </w:r>
      <w:r w:rsidRPr="00602B86">
        <w:rPr>
          <w:lang w:val="en-GB"/>
        </w:rPr>
        <w:t xml:space="preserve"> and </w:t>
      </w:r>
      <w:r>
        <w:rPr>
          <w:lang w:val="en-GB"/>
        </w:rPr>
        <w:t xml:space="preserve">ensure </w:t>
      </w:r>
      <w:r w:rsidR="00CA673F">
        <w:rPr>
          <w:lang w:val="en-GB"/>
        </w:rPr>
        <w:t xml:space="preserve">that </w:t>
      </w:r>
      <w:r>
        <w:rPr>
          <w:lang w:val="en-GB"/>
        </w:rPr>
        <w:t>their voice</w:t>
      </w:r>
      <w:r w:rsidR="00CA673F">
        <w:rPr>
          <w:lang w:val="en-GB"/>
        </w:rPr>
        <w:t>s</w:t>
      </w:r>
      <w:r>
        <w:rPr>
          <w:lang w:val="en-GB"/>
        </w:rPr>
        <w:t xml:space="preserve"> </w:t>
      </w:r>
      <w:r w:rsidR="00CA673F">
        <w:rPr>
          <w:lang w:val="en-GB"/>
        </w:rPr>
        <w:t xml:space="preserve">are </w:t>
      </w:r>
      <w:r>
        <w:rPr>
          <w:lang w:val="en-GB"/>
        </w:rPr>
        <w:t xml:space="preserve">heard. </w:t>
      </w:r>
      <w:r w:rsidRPr="00602B86">
        <w:rPr>
          <w:lang w:val="en-GB"/>
        </w:rPr>
        <w:t xml:space="preserve"> </w:t>
      </w:r>
    </w:p>
    <w:p w14:paraId="3123763B" w14:textId="50AC3D07" w:rsidR="009708B1" w:rsidRPr="004A559E" w:rsidRDefault="009708B1" w:rsidP="009B0AAB">
      <w:pPr>
        <w:numPr>
          <w:ilvl w:val="0"/>
          <w:numId w:val="2"/>
        </w:numPr>
        <w:tabs>
          <w:tab w:val="left" w:pos="1170"/>
        </w:tabs>
        <w:autoSpaceDE w:val="0"/>
        <w:autoSpaceDN w:val="0"/>
        <w:adjustRightInd w:val="0"/>
        <w:spacing w:after="120"/>
        <w:ind w:left="810" w:right="720" w:firstLine="0"/>
        <w:jc w:val="both"/>
        <w:rPr>
          <w:lang w:val="en-GB"/>
        </w:rPr>
      </w:pPr>
      <w:r w:rsidRPr="004A559E">
        <w:rPr>
          <w:lang w:val="en-GB"/>
        </w:rPr>
        <w:t xml:space="preserve">UNDP will support </w:t>
      </w:r>
      <w:r>
        <w:rPr>
          <w:lang w:val="en-GB"/>
        </w:rPr>
        <w:t xml:space="preserve">the </w:t>
      </w:r>
      <w:r w:rsidRPr="004A559E">
        <w:rPr>
          <w:lang w:val="en-GB"/>
        </w:rPr>
        <w:t>country’s reform agenda, including overarching public administration and sectoral reforms.</w:t>
      </w:r>
      <w:r>
        <w:rPr>
          <w:rStyle w:val="FootnoteReference"/>
          <w:lang w:val="en-GB"/>
        </w:rPr>
        <w:footnoteReference w:id="18"/>
      </w:r>
      <w:r w:rsidRPr="004A559E">
        <w:rPr>
          <w:lang w:val="en-GB"/>
        </w:rPr>
        <w:t xml:space="preserve"> Institutional integrity and transparency will be enhanced at all levels</w:t>
      </w:r>
      <w:r>
        <w:rPr>
          <w:lang w:val="en-GB"/>
        </w:rPr>
        <w:t xml:space="preserve"> through leveraging ICT and innovation, </w:t>
      </w:r>
      <w:r w:rsidR="00BF145F">
        <w:rPr>
          <w:lang w:val="en-GB"/>
        </w:rPr>
        <w:t>re</w:t>
      </w:r>
      <w:r w:rsidR="00CA673F">
        <w:rPr>
          <w:lang w:val="en-GB"/>
        </w:rPr>
        <w:t>-</w:t>
      </w:r>
      <w:r w:rsidR="00BF145F">
        <w:rPr>
          <w:lang w:val="en-GB"/>
        </w:rPr>
        <w:t>engineering</w:t>
      </w:r>
      <w:r w:rsidR="00F0194D">
        <w:rPr>
          <w:lang w:val="en-GB"/>
        </w:rPr>
        <w:t xml:space="preserve"> and</w:t>
      </w:r>
      <w:r w:rsidR="00BF145F">
        <w:rPr>
          <w:lang w:val="en-GB"/>
        </w:rPr>
        <w:t xml:space="preserve"> </w:t>
      </w:r>
      <w:r w:rsidR="00F0194D">
        <w:rPr>
          <w:lang w:val="en-GB"/>
        </w:rPr>
        <w:t>digitizing</w:t>
      </w:r>
      <w:r w:rsidR="00F0194D" w:rsidRPr="004A559E">
        <w:rPr>
          <w:lang w:val="en-GB"/>
        </w:rPr>
        <w:t xml:space="preserve"> </w:t>
      </w:r>
      <w:r>
        <w:rPr>
          <w:lang w:val="en-GB"/>
        </w:rPr>
        <w:t xml:space="preserve">business processes. Targeted investments will be made </w:t>
      </w:r>
      <w:r w:rsidRPr="004A559E">
        <w:rPr>
          <w:lang w:val="en-GB"/>
        </w:rPr>
        <w:t xml:space="preserve">in strengthening the integrity and </w:t>
      </w:r>
      <w:r>
        <w:rPr>
          <w:lang w:val="en-GB"/>
        </w:rPr>
        <w:t xml:space="preserve">transparency </w:t>
      </w:r>
      <w:r w:rsidRPr="004A559E">
        <w:rPr>
          <w:lang w:val="en-GB"/>
        </w:rPr>
        <w:t>of the public procurement system. Innovative, disaggregated</w:t>
      </w:r>
      <w:r w:rsidR="00CA673F">
        <w:rPr>
          <w:lang w:val="en-GB"/>
        </w:rPr>
        <w:t xml:space="preserve"> and</w:t>
      </w:r>
      <w:r w:rsidRPr="004A559E">
        <w:rPr>
          <w:lang w:val="en-GB"/>
        </w:rPr>
        <w:t xml:space="preserve"> data-informed policymaking, including through testing and scaling-up alternative and/or citizen-generated data</w:t>
      </w:r>
      <w:r w:rsidR="00BF145F">
        <w:rPr>
          <w:lang w:val="en-GB"/>
        </w:rPr>
        <w:t>,</w:t>
      </w:r>
      <w:r w:rsidRPr="004A559E">
        <w:rPr>
          <w:lang w:val="en-GB"/>
        </w:rPr>
        <w:t xml:space="preserve"> will strengthen the foundation for effective </w:t>
      </w:r>
      <w:r w:rsidRPr="004A559E">
        <w:rPr>
          <w:lang w:val="en-GB"/>
        </w:rPr>
        <w:lastRenderedPageBreak/>
        <w:t xml:space="preserve">and accessible public service delivery. </w:t>
      </w:r>
      <w:r w:rsidR="00F30ACE">
        <w:rPr>
          <w:lang w:val="en-GB"/>
        </w:rPr>
        <w:t>A</w:t>
      </w:r>
      <w:r w:rsidRPr="004A559E">
        <w:rPr>
          <w:lang w:val="en-GB"/>
        </w:rPr>
        <w:t xml:space="preserve"> national portal</w:t>
      </w:r>
      <w:r w:rsidR="00CA673F">
        <w:rPr>
          <w:lang w:val="en-GB"/>
        </w:rPr>
        <w:t xml:space="preserve"> for the Sustainable Development Goals</w:t>
      </w:r>
      <w:r w:rsidR="00BF145F">
        <w:rPr>
          <w:lang w:val="en-GB"/>
        </w:rPr>
        <w:t>,</w:t>
      </w:r>
      <w:r w:rsidRPr="004A559E">
        <w:rPr>
          <w:lang w:val="en-GB"/>
        </w:rPr>
        <w:t xml:space="preserve"> moldova2030.gov.md</w:t>
      </w:r>
      <w:r w:rsidR="00BF145F">
        <w:rPr>
          <w:lang w:val="en-GB"/>
        </w:rPr>
        <w:t>,</w:t>
      </w:r>
      <w:r w:rsidRPr="004A559E">
        <w:rPr>
          <w:lang w:val="en-GB"/>
        </w:rPr>
        <w:t xml:space="preserve"> will</w:t>
      </w:r>
      <w:r w:rsidR="00F30ACE">
        <w:rPr>
          <w:lang w:val="en-GB"/>
        </w:rPr>
        <w:t xml:space="preserve"> be launched in 2017 to</w:t>
      </w:r>
      <w:r w:rsidRPr="004A559E">
        <w:rPr>
          <w:lang w:val="en-GB"/>
        </w:rPr>
        <w:t xml:space="preserve"> serve as digital home for engaging </w:t>
      </w:r>
      <w:r w:rsidR="00BF145F">
        <w:rPr>
          <w:lang w:val="en-GB"/>
        </w:rPr>
        <w:t xml:space="preserve">the </w:t>
      </w:r>
      <w:r w:rsidRPr="004A559E">
        <w:rPr>
          <w:lang w:val="en-GB"/>
        </w:rPr>
        <w:t xml:space="preserve">public on </w:t>
      </w:r>
      <w:r w:rsidR="00BF145F">
        <w:rPr>
          <w:lang w:val="en-GB"/>
        </w:rPr>
        <w:t xml:space="preserve">the </w:t>
      </w:r>
      <w:r w:rsidRPr="004A559E">
        <w:rPr>
          <w:lang w:val="en-GB"/>
        </w:rPr>
        <w:t xml:space="preserve">2030 Agenda </w:t>
      </w:r>
      <w:r w:rsidR="00BF145F">
        <w:rPr>
          <w:lang w:val="en-GB"/>
        </w:rPr>
        <w:t>and</w:t>
      </w:r>
      <w:r w:rsidRPr="004A559E">
        <w:rPr>
          <w:lang w:val="en-GB"/>
        </w:rPr>
        <w:t xml:space="preserve"> for tracking progress </w:t>
      </w:r>
      <w:r w:rsidR="00CA673F">
        <w:rPr>
          <w:lang w:val="en-GB"/>
        </w:rPr>
        <w:t>towards</w:t>
      </w:r>
      <w:r w:rsidR="00BF145F">
        <w:rPr>
          <w:lang w:val="en-GB"/>
        </w:rPr>
        <w:t xml:space="preserve"> </w:t>
      </w:r>
      <w:r w:rsidRPr="004A559E">
        <w:rPr>
          <w:lang w:val="en-GB"/>
        </w:rPr>
        <w:t xml:space="preserve">achievement of </w:t>
      </w:r>
      <w:r w:rsidR="00BF145F">
        <w:rPr>
          <w:lang w:val="en-GB"/>
        </w:rPr>
        <w:t xml:space="preserve">the </w:t>
      </w:r>
      <w:r w:rsidR="00CA673F">
        <w:rPr>
          <w:lang w:val="en-GB"/>
        </w:rPr>
        <w:t>Goals</w:t>
      </w:r>
      <w:r w:rsidRPr="004A559E">
        <w:rPr>
          <w:lang w:val="en-GB"/>
        </w:rPr>
        <w:t>.</w:t>
      </w:r>
    </w:p>
    <w:p w14:paraId="7692F632" w14:textId="7F9651AF" w:rsidR="009708B1" w:rsidRDefault="009708B1" w:rsidP="009B0AAB">
      <w:pPr>
        <w:numPr>
          <w:ilvl w:val="0"/>
          <w:numId w:val="2"/>
        </w:numPr>
        <w:tabs>
          <w:tab w:val="left" w:pos="1170"/>
        </w:tabs>
        <w:autoSpaceDE w:val="0"/>
        <w:autoSpaceDN w:val="0"/>
        <w:adjustRightInd w:val="0"/>
        <w:spacing w:after="120" w:line="252" w:lineRule="auto"/>
        <w:ind w:left="810" w:right="720" w:firstLine="0"/>
        <w:contextualSpacing/>
        <w:jc w:val="both"/>
        <w:rPr>
          <w:lang w:val="en-GB"/>
        </w:rPr>
      </w:pPr>
      <w:r w:rsidRPr="00EA00E5">
        <w:rPr>
          <w:lang w:val="en-GB"/>
        </w:rPr>
        <w:t xml:space="preserve">UNDP will expand its partnership with </w:t>
      </w:r>
      <w:r w:rsidR="003F468C">
        <w:rPr>
          <w:lang w:val="en-GB"/>
        </w:rPr>
        <w:t>development partners (</w:t>
      </w:r>
      <w:r w:rsidR="00CA673F">
        <w:rPr>
          <w:lang w:val="en-GB"/>
        </w:rPr>
        <w:t xml:space="preserve">Government of </w:t>
      </w:r>
      <w:r w:rsidR="003F468C">
        <w:rPr>
          <w:lang w:val="en-GB"/>
        </w:rPr>
        <w:t xml:space="preserve">Sweden, </w:t>
      </w:r>
      <w:r w:rsidR="00C82A97">
        <w:rPr>
          <w:lang w:val="en-GB"/>
        </w:rPr>
        <w:t xml:space="preserve">United Nations </w:t>
      </w:r>
      <w:r w:rsidR="00317ECB">
        <w:rPr>
          <w:lang w:val="en-GB"/>
        </w:rPr>
        <w:t>a</w:t>
      </w:r>
      <w:r w:rsidR="00F0194D">
        <w:rPr>
          <w:lang w:val="en-GB"/>
        </w:rPr>
        <w:t>gencies</w:t>
      </w:r>
      <w:r w:rsidR="003F468C">
        <w:rPr>
          <w:lang w:val="en-GB"/>
        </w:rPr>
        <w:t xml:space="preserve"> and </w:t>
      </w:r>
      <w:r w:rsidR="005179C0">
        <w:rPr>
          <w:lang w:val="en-GB"/>
        </w:rPr>
        <w:t>CSOs</w:t>
      </w:r>
      <w:r w:rsidRPr="00EA00E5">
        <w:rPr>
          <w:lang w:val="en-GB"/>
        </w:rPr>
        <w:t xml:space="preserve"> to advance</w:t>
      </w:r>
      <w:r w:rsidR="00BF145F">
        <w:rPr>
          <w:lang w:val="en-GB"/>
        </w:rPr>
        <w:t xml:space="preserve"> the</w:t>
      </w:r>
      <w:r w:rsidRPr="00EA00E5">
        <w:rPr>
          <w:lang w:val="en-GB"/>
        </w:rPr>
        <w:t xml:space="preserve"> implementation of the </w:t>
      </w:r>
      <w:r>
        <w:rPr>
          <w:lang w:val="en-GB"/>
        </w:rPr>
        <w:t xml:space="preserve">gender equality </w:t>
      </w:r>
      <w:r w:rsidRPr="00EA00E5">
        <w:rPr>
          <w:lang w:val="en-GB"/>
        </w:rPr>
        <w:t>law</w:t>
      </w:r>
      <w:r>
        <w:rPr>
          <w:lang w:val="en-GB"/>
        </w:rPr>
        <w:t xml:space="preserve">, promoting women in </w:t>
      </w:r>
      <w:r w:rsidRPr="00EA00E5">
        <w:rPr>
          <w:lang w:val="en-GB"/>
        </w:rPr>
        <w:t>decision-making positions at all levels</w:t>
      </w:r>
      <w:r>
        <w:rPr>
          <w:lang w:val="en-GB"/>
        </w:rPr>
        <w:t xml:space="preserve">. </w:t>
      </w:r>
      <w:r w:rsidRPr="00EA00E5">
        <w:rPr>
          <w:lang w:val="en-GB"/>
        </w:rPr>
        <w:t xml:space="preserve">Efforts </w:t>
      </w:r>
      <w:r w:rsidR="00AA3DAF">
        <w:rPr>
          <w:lang w:val="en-GB"/>
        </w:rPr>
        <w:t xml:space="preserve">will be intensified </w:t>
      </w:r>
      <w:r w:rsidRPr="00EA00E5">
        <w:rPr>
          <w:lang w:val="en-GB"/>
        </w:rPr>
        <w:t>to strengthen the rule of law</w:t>
      </w:r>
      <w:r w:rsidR="00AA3DAF">
        <w:rPr>
          <w:lang w:val="en-GB"/>
        </w:rPr>
        <w:t>,</w:t>
      </w:r>
      <w:r w:rsidR="00AA3DAF" w:rsidRPr="00EA00E5">
        <w:rPr>
          <w:lang w:val="en-GB"/>
        </w:rPr>
        <w:t xml:space="preserve"> </w:t>
      </w:r>
      <w:r w:rsidRPr="00EA00E5">
        <w:rPr>
          <w:lang w:val="en-GB"/>
        </w:rPr>
        <w:t xml:space="preserve">promote human rights, </w:t>
      </w:r>
      <w:r>
        <w:rPr>
          <w:lang w:val="en-GB"/>
        </w:rPr>
        <w:t xml:space="preserve">including the right to </w:t>
      </w:r>
      <w:r w:rsidR="00BF145F">
        <w:rPr>
          <w:lang w:val="en-GB"/>
        </w:rPr>
        <w:t xml:space="preserve">the </w:t>
      </w:r>
      <w:r>
        <w:rPr>
          <w:lang w:val="en-GB"/>
        </w:rPr>
        <w:t>h</w:t>
      </w:r>
      <w:r w:rsidRPr="00EA00E5">
        <w:rPr>
          <w:lang w:val="en-GB"/>
        </w:rPr>
        <w:t>i</w:t>
      </w:r>
      <w:r>
        <w:rPr>
          <w:lang w:val="en-GB"/>
        </w:rPr>
        <w:t>ghest attainable standards of health</w:t>
      </w:r>
      <w:r w:rsidR="00AA3DAF">
        <w:rPr>
          <w:lang w:val="en-GB"/>
        </w:rPr>
        <w:t xml:space="preserve"> </w:t>
      </w:r>
      <w:r>
        <w:rPr>
          <w:lang w:val="en-GB"/>
        </w:rPr>
        <w:t>i</w:t>
      </w:r>
      <w:r w:rsidRPr="00EA00E5">
        <w:rPr>
          <w:lang w:val="en-GB"/>
        </w:rPr>
        <w:t>mprove access to justice and community security</w:t>
      </w:r>
      <w:r w:rsidR="00BF145F">
        <w:rPr>
          <w:lang w:val="en-GB"/>
        </w:rPr>
        <w:t>,</w:t>
      </w:r>
      <w:r w:rsidRPr="00EA00E5">
        <w:rPr>
          <w:lang w:val="en-GB"/>
        </w:rPr>
        <w:t xml:space="preserve"> </w:t>
      </w:r>
      <w:r w:rsidR="00F0194D">
        <w:rPr>
          <w:lang w:val="en-GB"/>
        </w:rPr>
        <w:t>focusing</w:t>
      </w:r>
      <w:r w:rsidRPr="00EA00E5">
        <w:rPr>
          <w:lang w:val="en-GB"/>
        </w:rPr>
        <w:t xml:space="preserve"> on women and underrepresented groups</w:t>
      </w:r>
      <w:r>
        <w:rPr>
          <w:lang w:val="en-GB"/>
        </w:rPr>
        <w:t xml:space="preserve">. Targeted investments will be made to </w:t>
      </w:r>
      <w:r w:rsidRPr="00EA00E5">
        <w:rPr>
          <w:lang w:val="en-GB"/>
        </w:rPr>
        <w:t xml:space="preserve">expand civic space and </w:t>
      </w:r>
      <w:r>
        <w:rPr>
          <w:lang w:val="en-GB"/>
        </w:rPr>
        <w:t xml:space="preserve">public </w:t>
      </w:r>
      <w:r w:rsidRPr="00EA00E5">
        <w:rPr>
          <w:lang w:val="en-GB"/>
        </w:rPr>
        <w:t>participation</w:t>
      </w:r>
      <w:r>
        <w:rPr>
          <w:lang w:val="en-GB"/>
        </w:rPr>
        <w:t xml:space="preserve"> in policy development</w:t>
      </w:r>
      <w:r w:rsidR="00E84643">
        <w:rPr>
          <w:lang w:val="en-GB"/>
        </w:rPr>
        <w:t>,</w:t>
      </w:r>
      <w:r>
        <w:rPr>
          <w:lang w:val="en-GB"/>
        </w:rPr>
        <w:t xml:space="preserve"> implementation and service delivery. </w:t>
      </w:r>
    </w:p>
    <w:p w14:paraId="4F9656E7" w14:textId="77777777" w:rsidR="00EA00E5" w:rsidRPr="009B0AAB" w:rsidRDefault="00EA00E5" w:rsidP="00746499">
      <w:pPr>
        <w:tabs>
          <w:tab w:val="left" w:pos="1170"/>
        </w:tabs>
        <w:autoSpaceDE w:val="0"/>
        <w:autoSpaceDN w:val="0"/>
        <w:adjustRightInd w:val="0"/>
        <w:spacing w:after="160" w:line="252" w:lineRule="auto"/>
        <w:ind w:left="810" w:right="720"/>
        <w:contextualSpacing/>
        <w:jc w:val="both"/>
        <w:rPr>
          <w:sz w:val="12"/>
          <w:szCs w:val="12"/>
          <w:lang w:val="en-GB"/>
        </w:rPr>
      </w:pPr>
    </w:p>
    <w:p w14:paraId="5362380D" w14:textId="79E5BB9A" w:rsidR="00AA3DAF" w:rsidRDefault="00AA3DAF" w:rsidP="009B0AAB">
      <w:pPr>
        <w:tabs>
          <w:tab w:val="left" w:pos="1170"/>
        </w:tabs>
        <w:autoSpaceDE w:val="0"/>
        <w:autoSpaceDN w:val="0"/>
        <w:adjustRightInd w:val="0"/>
        <w:spacing w:after="120" w:line="252" w:lineRule="auto"/>
        <w:ind w:left="810" w:right="720"/>
        <w:contextualSpacing/>
        <w:jc w:val="both"/>
        <w:rPr>
          <w:b/>
          <w:lang w:val="en-GB"/>
        </w:rPr>
      </w:pPr>
      <w:r w:rsidRPr="00AA3DAF">
        <w:rPr>
          <w:b/>
          <w:lang w:val="en-GB"/>
        </w:rPr>
        <w:t>Pillar 2. Sustainable and inclusive growth</w:t>
      </w:r>
    </w:p>
    <w:p w14:paraId="5D81DB1D" w14:textId="77777777" w:rsidR="004A32D5" w:rsidRPr="009B0AAB" w:rsidRDefault="004A32D5" w:rsidP="00746499">
      <w:pPr>
        <w:tabs>
          <w:tab w:val="left" w:pos="1170"/>
        </w:tabs>
        <w:autoSpaceDE w:val="0"/>
        <w:autoSpaceDN w:val="0"/>
        <w:adjustRightInd w:val="0"/>
        <w:spacing w:after="160" w:line="252" w:lineRule="auto"/>
        <w:ind w:left="810" w:right="720"/>
        <w:contextualSpacing/>
        <w:jc w:val="both"/>
        <w:rPr>
          <w:sz w:val="12"/>
          <w:szCs w:val="12"/>
          <w:lang w:val="en-GB"/>
        </w:rPr>
      </w:pPr>
    </w:p>
    <w:p w14:paraId="3345FE3C" w14:textId="0ABAF3CF" w:rsidR="009708B1" w:rsidRPr="00D437A2" w:rsidRDefault="00844F9B" w:rsidP="00427DA9">
      <w:pPr>
        <w:numPr>
          <w:ilvl w:val="0"/>
          <w:numId w:val="2"/>
        </w:numPr>
        <w:tabs>
          <w:tab w:val="left" w:pos="1170"/>
        </w:tabs>
        <w:autoSpaceDE w:val="0"/>
        <w:autoSpaceDN w:val="0"/>
        <w:adjustRightInd w:val="0"/>
        <w:spacing w:after="120" w:line="252" w:lineRule="auto"/>
        <w:ind w:left="810" w:right="720" w:firstLine="0"/>
        <w:contextualSpacing/>
        <w:jc w:val="both"/>
        <w:rPr>
          <w:lang w:val="en-GB"/>
        </w:rPr>
      </w:pPr>
      <w:r w:rsidRPr="00EA00E5">
        <w:rPr>
          <w:lang w:val="en-GB"/>
        </w:rPr>
        <w:t>UNDP</w:t>
      </w:r>
      <w:r w:rsidR="0065346B" w:rsidRPr="00EA00E5">
        <w:rPr>
          <w:lang w:val="en-GB"/>
        </w:rPr>
        <w:t xml:space="preserve"> assistance will be framed around </w:t>
      </w:r>
      <w:r w:rsidR="00AA3DAF">
        <w:rPr>
          <w:lang w:val="en-GB"/>
        </w:rPr>
        <w:t>Sustainable Development Goals</w:t>
      </w:r>
      <w:r w:rsidR="00AA3DAF" w:rsidRPr="00EA00E5">
        <w:rPr>
          <w:lang w:val="en-GB"/>
        </w:rPr>
        <w:t xml:space="preserve"> </w:t>
      </w:r>
      <w:r w:rsidR="00F53C6A" w:rsidRPr="00EA00E5">
        <w:rPr>
          <w:lang w:val="en-GB"/>
        </w:rPr>
        <w:t>1</w:t>
      </w:r>
      <w:r w:rsidR="00BE51E5" w:rsidRPr="00EA00E5">
        <w:rPr>
          <w:lang w:val="en-GB"/>
        </w:rPr>
        <w:t>, 4</w:t>
      </w:r>
      <w:r w:rsidR="00E17746" w:rsidRPr="00EA00E5">
        <w:rPr>
          <w:lang w:val="en-GB"/>
        </w:rPr>
        <w:t>,</w:t>
      </w:r>
      <w:r w:rsidR="00F53C6A" w:rsidRPr="00EA00E5">
        <w:rPr>
          <w:lang w:val="en-GB"/>
        </w:rPr>
        <w:t xml:space="preserve"> </w:t>
      </w:r>
      <w:r w:rsidR="004550F3" w:rsidRPr="00EA00E5">
        <w:rPr>
          <w:lang w:val="en-GB"/>
        </w:rPr>
        <w:t xml:space="preserve">5, </w:t>
      </w:r>
      <w:r w:rsidR="00F53C6A" w:rsidRPr="00EA00E5">
        <w:rPr>
          <w:lang w:val="en-GB"/>
        </w:rPr>
        <w:t>8, 9, 10,</w:t>
      </w:r>
      <w:r w:rsidR="00E62FDC" w:rsidRPr="00EA00E5">
        <w:rPr>
          <w:lang w:val="en-GB"/>
        </w:rPr>
        <w:t xml:space="preserve"> </w:t>
      </w:r>
      <w:r w:rsidR="00E17746" w:rsidRPr="00EA00E5">
        <w:rPr>
          <w:lang w:val="en-GB"/>
        </w:rPr>
        <w:t xml:space="preserve">11 </w:t>
      </w:r>
      <w:r w:rsidR="00E62FDC" w:rsidRPr="00EA00E5">
        <w:rPr>
          <w:lang w:val="en-GB"/>
        </w:rPr>
        <w:t xml:space="preserve">and </w:t>
      </w:r>
      <w:r w:rsidR="00F53C6A" w:rsidRPr="00EA00E5">
        <w:rPr>
          <w:lang w:val="en-GB"/>
        </w:rPr>
        <w:t>1</w:t>
      </w:r>
      <w:r w:rsidR="00E17746" w:rsidRPr="00EA00E5">
        <w:rPr>
          <w:lang w:val="en-GB"/>
        </w:rPr>
        <w:t>6</w:t>
      </w:r>
      <w:r w:rsidR="00E84643">
        <w:rPr>
          <w:lang w:val="en-GB"/>
        </w:rPr>
        <w:t xml:space="preserve">, focusing </w:t>
      </w:r>
      <w:r w:rsidR="00A6622E" w:rsidRPr="00EA00E5">
        <w:rPr>
          <w:lang w:val="en-GB"/>
        </w:rPr>
        <w:t xml:space="preserve">on </w:t>
      </w:r>
      <w:r w:rsidR="00D437A2">
        <w:rPr>
          <w:lang w:val="en-GB"/>
        </w:rPr>
        <w:t>sustainable</w:t>
      </w:r>
      <w:r w:rsidR="009708B1">
        <w:rPr>
          <w:lang w:val="en-GB"/>
        </w:rPr>
        <w:t>, inclusive and green jobs</w:t>
      </w:r>
      <w:r w:rsidR="00A6622E" w:rsidRPr="00EA00E5">
        <w:rPr>
          <w:lang w:val="en-GB"/>
        </w:rPr>
        <w:t xml:space="preserve"> creation</w:t>
      </w:r>
      <w:r w:rsidR="006B5803">
        <w:rPr>
          <w:lang w:val="en-GB"/>
        </w:rPr>
        <w:t>;</w:t>
      </w:r>
      <w:r w:rsidR="00A6622E" w:rsidRPr="00EA00E5">
        <w:rPr>
          <w:lang w:val="en-GB"/>
        </w:rPr>
        <w:t xml:space="preserve"> integrity-based business development</w:t>
      </w:r>
      <w:r w:rsidR="006B5803">
        <w:rPr>
          <w:lang w:val="en-GB"/>
        </w:rPr>
        <w:t>;</w:t>
      </w:r>
      <w:r w:rsidR="00A6622E" w:rsidRPr="00EA00E5">
        <w:rPr>
          <w:lang w:val="en-GB"/>
        </w:rPr>
        <w:t xml:space="preserve"> transparent</w:t>
      </w:r>
      <w:r w:rsidR="00E84643">
        <w:rPr>
          <w:lang w:val="en-GB"/>
        </w:rPr>
        <w:t>,</w:t>
      </w:r>
      <w:r w:rsidR="00A6622E" w:rsidRPr="00EA00E5">
        <w:rPr>
          <w:lang w:val="en-GB"/>
        </w:rPr>
        <w:t xml:space="preserve"> accountable, efficient and inclusive service provision</w:t>
      </w:r>
      <w:r w:rsidR="006B5803">
        <w:rPr>
          <w:lang w:val="en-GB"/>
        </w:rPr>
        <w:t>; and</w:t>
      </w:r>
      <w:r w:rsidR="009708B1">
        <w:rPr>
          <w:lang w:val="en-GB"/>
        </w:rPr>
        <w:t xml:space="preserve"> equal and</w:t>
      </w:r>
      <w:r w:rsidR="00A6622E" w:rsidRPr="00EA00E5">
        <w:rPr>
          <w:lang w:val="en-GB"/>
        </w:rPr>
        <w:t xml:space="preserve"> equitable access to economic opportunities. Anchoring its interventions in the newly develope</w:t>
      </w:r>
      <w:r w:rsidR="009708B1">
        <w:rPr>
          <w:lang w:val="en-GB"/>
        </w:rPr>
        <w:t xml:space="preserve">d </w:t>
      </w:r>
      <w:r w:rsidR="00AA3DAF">
        <w:rPr>
          <w:lang w:val="en-GB"/>
        </w:rPr>
        <w:t xml:space="preserve">strategy </w:t>
      </w:r>
      <w:r w:rsidR="009708B1">
        <w:rPr>
          <w:lang w:val="en-GB"/>
        </w:rPr>
        <w:t xml:space="preserve">for </w:t>
      </w:r>
      <w:r w:rsidR="00AA3DAF">
        <w:rPr>
          <w:lang w:val="en-GB"/>
        </w:rPr>
        <w:t>employment</w:t>
      </w:r>
      <w:r w:rsidR="009708B1">
        <w:rPr>
          <w:lang w:val="en-GB"/>
        </w:rPr>
        <w:t>,</w:t>
      </w:r>
      <w:r w:rsidR="009708B1" w:rsidRPr="009708B1">
        <w:rPr>
          <w:lang w:val="en-GB"/>
        </w:rPr>
        <w:t xml:space="preserve"> </w:t>
      </w:r>
      <w:r w:rsidR="009708B1" w:rsidRPr="00EA00E5">
        <w:rPr>
          <w:lang w:val="en-GB"/>
        </w:rPr>
        <w:t>UNDP</w:t>
      </w:r>
      <w:r w:rsidR="006B5803">
        <w:rPr>
          <w:lang w:val="en-GB"/>
        </w:rPr>
        <w:t>,</w:t>
      </w:r>
      <w:r w:rsidR="009708B1" w:rsidRPr="00EA00E5">
        <w:rPr>
          <w:lang w:val="en-GB"/>
        </w:rPr>
        <w:t xml:space="preserve"> with </w:t>
      </w:r>
      <w:r w:rsidR="00AA3DAF">
        <w:rPr>
          <w:lang w:val="en-GB"/>
        </w:rPr>
        <w:t xml:space="preserve">the International Labour Organization </w:t>
      </w:r>
      <w:r w:rsidR="009708B1">
        <w:rPr>
          <w:lang w:val="en-GB"/>
        </w:rPr>
        <w:t>and the Ministry of Social Protection and Labour</w:t>
      </w:r>
      <w:r w:rsidR="003F468C">
        <w:rPr>
          <w:lang w:val="en-GB"/>
        </w:rPr>
        <w:t>,</w:t>
      </w:r>
      <w:r w:rsidR="009708B1">
        <w:rPr>
          <w:lang w:val="en-GB"/>
        </w:rPr>
        <w:t xml:space="preserve"> </w:t>
      </w:r>
      <w:r w:rsidR="00C15596">
        <w:rPr>
          <w:lang w:val="en-GB"/>
        </w:rPr>
        <w:t xml:space="preserve">the </w:t>
      </w:r>
      <w:r w:rsidR="009708B1">
        <w:rPr>
          <w:lang w:val="en-GB"/>
        </w:rPr>
        <w:t>National Employment Agency</w:t>
      </w:r>
      <w:r w:rsidR="003F468C">
        <w:rPr>
          <w:lang w:val="en-GB"/>
        </w:rPr>
        <w:t xml:space="preserve"> and </w:t>
      </w:r>
      <w:r w:rsidR="006B5803">
        <w:rPr>
          <w:lang w:val="en-GB"/>
        </w:rPr>
        <w:t xml:space="preserve">the </w:t>
      </w:r>
      <w:r w:rsidR="003F468C">
        <w:rPr>
          <w:lang w:val="en-GB"/>
        </w:rPr>
        <w:t>Government of Switzerland</w:t>
      </w:r>
      <w:r w:rsidR="009708B1">
        <w:rPr>
          <w:lang w:val="en-GB"/>
        </w:rPr>
        <w:t>, will</w:t>
      </w:r>
      <w:r w:rsidR="009708B1" w:rsidRPr="00EA00E5">
        <w:rPr>
          <w:lang w:val="en-GB"/>
        </w:rPr>
        <w:t xml:space="preserve"> </w:t>
      </w:r>
      <w:r w:rsidR="009708B1" w:rsidRPr="00D437A2">
        <w:rPr>
          <w:lang w:val="en-GB"/>
        </w:rPr>
        <w:t>create an enabling environment for formal</w:t>
      </w:r>
      <w:r w:rsidR="00E84643">
        <w:rPr>
          <w:lang w:val="en-GB"/>
        </w:rPr>
        <w:t>,</w:t>
      </w:r>
      <w:r w:rsidR="009708B1" w:rsidRPr="00D437A2">
        <w:rPr>
          <w:lang w:val="en-GB"/>
        </w:rPr>
        <w:t xml:space="preserve"> innovative employment and decent green jobs, catalysing investment for sustainable and resilient livelihoods throughout the country, including</w:t>
      </w:r>
      <w:r w:rsidR="003F468C">
        <w:rPr>
          <w:lang w:val="en-GB"/>
        </w:rPr>
        <w:t xml:space="preserve"> </w:t>
      </w:r>
      <w:r w:rsidR="009708B1" w:rsidRPr="00D437A2">
        <w:rPr>
          <w:lang w:val="en-GB"/>
        </w:rPr>
        <w:t xml:space="preserve">across the conflict divide. </w:t>
      </w:r>
      <w:r w:rsidR="009708B1">
        <w:rPr>
          <w:lang w:val="en-GB"/>
        </w:rPr>
        <w:t xml:space="preserve">New tools in </w:t>
      </w:r>
      <w:r w:rsidR="009708B1" w:rsidRPr="00D437A2">
        <w:rPr>
          <w:lang w:val="en-GB"/>
        </w:rPr>
        <w:t>forec</w:t>
      </w:r>
      <w:r w:rsidR="009708B1">
        <w:rPr>
          <w:lang w:val="en-GB"/>
        </w:rPr>
        <w:t>asting labour</w:t>
      </w:r>
      <w:r w:rsidR="00AA3DAF">
        <w:rPr>
          <w:lang w:val="en-GB"/>
        </w:rPr>
        <w:t xml:space="preserve"> </w:t>
      </w:r>
      <w:r w:rsidR="009708B1">
        <w:rPr>
          <w:lang w:val="en-GB"/>
        </w:rPr>
        <w:t xml:space="preserve">market trends </w:t>
      </w:r>
      <w:r w:rsidR="00B46A94">
        <w:rPr>
          <w:lang w:val="en-GB"/>
        </w:rPr>
        <w:t xml:space="preserve">will be applied </w:t>
      </w:r>
      <w:r w:rsidR="009708B1">
        <w:rPr>
          <w:lang w:val="en-GB"/>
        </w:rPr>
        <w:t>to address</w:t>
      </w:r>
      <w:r w:rsidR="009708B1" w:rsidRPr="00D437A2">
        <w:rPr>
          <w:lang w:val="en-GB"/>
        </w:rPr>
        <w:t xml:space="preserve"> skills </w:t>
      </w:r>
      <w:r w:rsidR="009708B1">
        <w:rPr>
          <w:lang w:val="en-GB"/>
        </w:rPr>
        <w:t xml:space="preserve">mismatch. </w:t>
      </w:r>
      <w:r w:rsidR="00F2365A">
        <w:rPr>
          <w:lang w:val="en-GB"/>
        </w:rPr>
        <w:t xml:space="preserve">Support for structural economic transformation will be aligned with the </w:t>
      </w:r>
      <w:hyperlink r:id="rId14" w:history="1">
        <w:r w:rsidR="00F2365A" w:rsidRPr="00F2365A">
          <w:rPr>
            <w:rStyle w:val="Hyperlink"/>
            <w:lang w:val="en-GB"/>
          </w:rPr>
          <w:t xml:space="preserve">Vienna Programme of Action for Landlocked </w:t>
        </w:r>
        <w:r w:rsidR="00AA3DAF">
          <w:rPr>
            <w:rStyle w:val="Hyperlink"/>
            <w:lang w:val="en-GB"/>
          </w:rPr>
          <w:t>D</w:t>
        </w:r>
        <w:r w:rsidR="00AA3DAF" w:rsidRPr="00F2365A">
          <w:rPr>
            <w:rStyle w:val="Hyperlink"/>
            <w:lang w:val="en-GB"/>
          </w:rPr>
          <w:t xml:space="preserve">eveloping </w:t>
        </w:r>
        <w:r w:rsidR="00AA3DAF">
          <w:rPr>
            <w:rStyle w:val="Hyperlink"/>
            <w:lang w:val="en-GB"/>
          </w:rPr>
          <w:t>C</w:t>
        </w:r>
        <w:r w:rsidR="00F2365A" w:rsidRPr="00F2365A">
          <w:rPr>
            <w:rStyle w:val="Hyperlink"/>
            <w:lang w:val="en-GB"/>
          </w:rPr>
          <w:t>ountries</w:t>
        </w:r>
      </w:hyperlink>
      <w:r w:rsidR="00AA3DAF">
        <w:rPr>
          <w:rStyle w:val="Hyperlink"/>
          <w:lang w:val="en-GB"/>
        </w:rPr>
        <w:t xml:space="preserve"> for the Decade 2014-2024.</w:t>
      </w:r>
    </w:p>
    <w:p w14:paraId="2C6B7BB6" w14:textId="77777777" w:rsidR="00BF79DE" w:rsidRPr="00427DA9" w:rsidRDefault="00BF79DE" w:rsidP="00746499">
      <w:pPr>
        <w:tabs>
          <w:tab w:val="left" w:pos="1170"/>
        </w:tabs>
        <w:ind w:left="810" w:right="720"/>
        <w:rPr>
          <w:sz w:val="12"/>
          <w:szCs w:val="12"/>
          <w:lang w:val="en-GB"/>
        </w:rPr>
      </w:pPr>
    </w:p>
    <w:p w14:paraId="3275AE37" w14:textId="6CCBDF54" w:rsidR="00BF79DE" w:rsidRPr="001D3DC6" w:rsidRDefault="00844F9B" w:rsidP="00746499">
      <w:pPr>
        <w:numPr>
          <w:ilvl w:val="0"/>
          <w:numId w:val="2"/>
        </w:numPr>
        <w:tabs>
          <w:tab w:val="left" w:pos="1170"/>
        </w:tabs>
        <w:autoSpaceDE w:val="0"/>
        <w:autoSpaceDN w:val="0"/>
        <w:adjustRightInd w:val="0"/>
        <w:spacing w:after="160" w:line="252" w:lineRule="auto"/>
        <w:ind w:left="810" w:right="720" w:firstLine="0"/>
        <w:contextualSpacing/>
        <w:jc w:val="both"/>
        <w:rPr>
          <w:lang w:val="en-GB"/>
        </w:rPr>
      </w:pPr>
      <w:r w:rsidRPr="00D437A2">
        <w:rPr>
          <w:lang w:val="en-GB"/>
        </w:rPr>
        <w:t xml:space="preserve">On the supply side, UNDP will support groups with limited access to </w:t>
      </w:r>
      <w:r w:rsidR="00C15596">
        <w:rPr>
          <w:lang w:val="en-GB"/>
        </w:rPr>
        <w:t xml:space="preserve">the </w:t>
      </w:r>
      <w:r w:rsidRPr="00D437A2">
        <w:rPr>
          <w:lang w:val="en-GB"/>
        </w:rPr>
        <w:t>labour</w:t>
      </w:r>
      <w:r w:rsidR="00C803D7">
        <w:rPr>
          <w:lang w:val="en-GB"/>
        </w:rPr>
        <w:t xml:space="preserve"> </w:t>
      </w:r>
      <w:r w:rsidRPr="00D437A2">
        <w:rPr>
          <w:lang w:val="en-GB"/>
        </w:rPr>
        <w:t xml:space="preserve">market, including but not limited to youth, women, </w:t>
      </w:r>
      <w:r w:rsidR="00C15596">
        <w:rPr>
          <w:lang w:val="en-GB"/>
        </w:rPr>
        <w:t>persons</w:t>
      </w:r>
      <w:r w:rsidR="00C15596" w:rsidRPr="00D437A2">
        <w:rPr>
          <w:lang w:val="en-GB"/>
        </w:rPr>
        <w:t xml:space="preserve"> </w:t>
      </w:r>
      <w:r w:rsidRPr="00D437A2">
        <w:rPr>
          <w:lang w:val="en-GB"/>
        </w:rPr>
        <w:t xml:space="preserve">with disabilities </w:t>
      </w:r>
      <w:r w:rsidR="004550F3" w:rsidRPr="00D437A2">
        <w:rPr>
          <w:lang w:val="en-GB"/>
        </w:rPr>
        <w:t xml:space="preserve">and ethnic minorities, by </w:t>
      </w:r>
      <w:r w:rsidRPr="00D437A2">
        <w:rPr>
          <w:lang w:val="en-GB"/>
        </w:rPr>
        <w:t xml:space="preserve">helping them to benefit from </w:t>
      </w:r>
      <w:r w:rsidR="001A00D9" w:rsidRPr="00D437A2">
        <w:rPr>
          <w:lang w:val="en-GB"/>
        </w:rPr>
        <w:t xml:space="preserve">vocational education and training, </w:t>
      </w:r>
      <w:r w:rsidR="00FF598A" w:rsidRPr="00D437A2">
        <w:rPr>
          <w:lang w:val="en-GB"/>
        </w:rPr>
        <w:t xml:space="preserve">better access to </w:t>
      </w:r>
      <w:r w:rsidR="00AA3DAF" w:rsidRPr="00D437A2">
        <w:rPr>
          <w:lang w:val="en-GB"/>
        </w:rPr>
        <w:t>financ</w:t>
      </w:r>
      <w:r w:rsidR="00AA3DAF">
        <w:rPr>
          <w:lang w:val="en-GB"/>
        </w:rPr>
        <w:t>ing and</w:t>
      </w:r>
      <w:r w:rsidR="00AA3DAF" w:rsidRPr="00D437A2">
        <w:rPr>
          <w:lang w:val="en-GB"/>
        </w:rPr>
        <w:t xml:space="preserve"> </w:t>
      </w:r>
      <w:r w:rsidRPr="00D437A2">
        <w:rPr>
          <w:lang w:val="en-GB"/>
        </w:rPr>
        <w:t xml:space="preserve">improved links between social protection schemes, employment measures and </w:t>
      </w:r>
      <w:r w:rsidR="00D5143A" w:rsidRPr="00D437A2">
        <w:rPr>
          <w:lang w:val="en-GB"/>
        </w:rPr>
        <w:t xml:space="preserve">public </w:t>
      </w:r>
      <w:r w:rsidR="004844C0" w:rsidRPr="00D437A2">
        <w:rPr>
          <w:lang w:val="en-GB"/>
        </w:rPr>
        <w:t>services</w:t>
      </w:r>
      <w:r w:rsidRPr="00D437A2">
        <w:rPr>
          <w:lang w:val="en-GB"/>
        </w:rPr>
        <w:t>.</w:t>
      </w:r>
      <w:r w:rsidR="00D437A2">
        <w:rPr>
          <w:lang w:val="en-GB"/>
        </w:rPr>
        <w:t xml:space="preserve"> Moving towards transformative gender results,</w:t>
      </w:r>
      <w:r w:rsidRPr="00D437A2">
        <w:rPr>
          <w:lang w:val="en-GB"/>
        </w:rPr>
        <w:t xml:space="preserve"> </w:t>
      </w:r>
      <w:r w:rsidR="00A6622E" w:rsidRPr="00D437A2">
        <w:t>UNDP will work to strengthen policies that address barriers for inclusion of women in</w:t>
      </w:r>
      <w:r w:rsidR="00A6622E">
        <w:t xml:space="preserve"> the labour market</w:t>
      </w:r>
      <w:r w:rsidR="00A6622E" w:rsidRPr="007F5320">
        <w:t xml:space="preserve"> by</w:t>
      </w:r>
      <w:r w:rsidR="00A6622E">
        <w:t xml:space="preserve"> </w:t>
      </w:r>
      <w:r w:rsidR="00A6622E" w:rsidRPr="007F5320">
        <w:t xml:space="preserve">tackling social stereotypes, ensuring access to affordable services, addressing the issue of unpaid care work, </w:t>
      </w:r>
      <w:r w:rsidR="00C15596">
        <w:t xml:space="preserve">and </w:t>
      </w:r>
      <w:r w:rsidR="00A6622E" w:rsidRPr="007F5320">
        <w:t>promoting women's access to entrepreneurship support schemes.</w:t>
      </w:r>
    </w:p>
    <w:p w14:paraId="67A93730" w14:textId="77777777" w:rsidR="001D3DC6" w:rsidRPr="00427DA9" w:rsidRDefault="001D3DC6" w:rsidP="00746499">
      <w:pPr>
        <w:tabs>
          <w:tab w:val="left" w:pos="1170"/>
        </w:tabs>
        <w:ind w:left="810" w:right="720"/>
        <w:rPr>
          <w:sz w:val="12"/>
          <w:szCs w:val="12"/>
          <w:lang w:val="en-GB"/>
        </w:rPr>
      </w:pPr>
    </w:p>
    <w:p w14:paraId="61B72A04" w14:textId="53971EB6" w:rsidR="001D3DC6" w:rsidRDefault="001D3DC6" w:rsidP="00746499">
      <w:pPr>
        <w:numPr>
          <w:ilvl w:val="0"/>
          <w:numId w:val="2"/>
        </w:numPr>
        <w:tabs>
          <w:tab w:val="left" w:pos="1170"/>
        </w:tabs>
        <w:autoSpaceDE w:val="0"/>
        <w:autoSpaceDN w:val="0"/>
        <w:adjustRightInd w:val="0"/>
        <w:spacing w:after="160" w:line="252" w:lineRule="auto"/>
        <w:ind w:left="810" w:right="720" w:firstLine="0"/>
        <w:contextualSpacing/>
        <w:jc w:val="both"/>
        <w:rPr>
          <w:lang w:val="en-GB"/>
        </w:rPr>
      </w:pPr>
      <w:r w:rsidRPr="001D3DC6">
        <w:rPr>
          <w:lang w:val="en-GB"/>
        </w:rPr>
        <w:t xml:space="preserve">Aiming to enhance accessibility of local public services in targeted geographic regions, UNDP will strengthen local government </w:t>
      </w:r>
      <w:r w:rsidR="00AA3DAF" w:rsidRPr="001D3DC6">
        <w:rPr>
          <w:lang w:val="en-GB"/>
        </w:rPr>
        <w:t>capacit</w:t>
      </w:r>
      <w:r w:rsidR="00AA3DAF">
        <w:rPr>
          <w:lang w:val="en-GB"/>
        </w:rPr>
        <w:t>ies</w:t>
      </w:r>
      <w:r w:rsidR="00AA3DAF" w:rsidRPr="001D3DC6">
        <w:rPr>
          <w:lang w:val="en-GB"/>
        </w:rPr>
        <w:t xml:space="preserve"> </w:t>
      </w:r>
      <w:r w:rsidRPr="001D3DC6">
        <w:rPr>
          <w:lang w:val="en-GB"/>
        </w:rPr>
        <w:t>to engage</w:t>
      </w:r>
      <w:r w:rsidR="003F468C">
        <w:rPr>
          <w:lang w:val="en-GB"/>
        </w:rPr>
        <w:t xml:space="preserve"> targeted groups and</w:t>
      </w:r>
      <w:r w:rsidRPr="001D3DC6">
        <w:rPr>
          <w:lang w:val="en-GB"/>
        </w:rPr>
        <w:t xml:space="preserve"> community members in the</w:t>
      </w:r>
      <w:r w:rsidR="00B472DE" w:rsidRPr="001D3DC6">
        <w:rPr>
          <w:lang w:val="en-GB"/>
        </w:rPr>
        <w:t xml:space="preserve"> planning, deli</w:t>
      </w:r>
      <w:r w:rsidR="00073425" w:rsidRPr="001D3DC6">
        <w:rPr>
          <w:lang w:val="en-GB"/>
        </w:rPr>
        <w:t xml:space="preserve">very and monitoring of </w:t>
      </w:r>
      <w:r w:rsidR="00B472DE" w:rsidRPr="001D3DC6">
        <w:rPr>
          <w:lang w:val="en-GB"/>
        </w:rPr>
        <w:t>service</w:t>
      </w:r>
      <w:r w:rsidR="00073425" w:rsidRPr="001D3DC6">
        <w:rPr>
          <w:lang w:val="en-GB"/>
        </w:rPr>
        <w:t>s</w:t>
      </w:r>
      <w:r w:rsidR="00B472DE" w:rsidRPr="001D3DC6">
        <w:rPr>
          <w:lang w:val="en-GB"/>
        </w:rPr>
        <w:t xml:space="preserve">. </w:t>
      </w:r>
      <w:r>
        <w:rPr>
          <w:lang w:val="en-GB"/>
        </w:rPr>
        <w:t>C</w:t>
      </w:r>
      <w:r w:rsidR="00B472DE" w:rsidRPr="001D3DC6">
        <w:rPr>
          <w:lang w:val="en-GB"/>
        </w:rPr>
        <w:t xml:space="preserve">ommunity empowerment, </w:t>
      </w:r>
      <w:r>
        <w:rPr>
          <w:lang w:val="en-GB"/>
        </w:rPr>
        <w:t>focusing on</w:t>
      </w:r>
      <w:r w:rsidR="00B472DE" w:rsidRPr="001D3DC6">
        <w:rPr>
          <w:lang w:val="en-GB"/>
        </w:rPr>
        <w:t xml:space="preserve"> women and marginalized groups</w:t>
      </w:r>
      <w:r>
        <w:rPr>
          <w:lang w:val="en-GB"/>
        </w:rPr>
        <w:t>,</w:t>
      </w:r>
      <w:r w:rsidRPr="001D3DC6">
        <w:rPr>
          <w:lang w:val="en-GB"/>
        </w:rPr>
        <w:t xml:space="preserve"> will be prioritized</w:t>
      </w:r>
      <w:r w:rsidR="00B472DE" w:rsidRPr="001D3DC6">
        <w:rPr>
          <w:lang w:val="en-GB"/>
        </w:rPr>
        <w:t>.</w:t>
      </w:r>
      <w:r w:rsidR="00EE3923" w:rsidRPr="001D3DC6">
        <w:rPr>
          <w:lang w:val="en-GB"/>
        </w:rPr>
        <w:t xml:space="preserve"> </w:t>
      </w:r>
      <w:r w:rsidR="00850A25">
        <w:rPr>
          <w:lang w:val="en-GB"/>
        </w:rPr>
        <w:t xml:space="preserve">UNDP will build on its comparative advantage, expanding </w:t>
      </w:r>
      <w:r w:rsidRPr="001D3DC6">
        <w:rPr>
          <w:lang w:val="en-GB"/>
        </w:rPr>
        <w:t>multisectoral, conflict-sensitive and risk-informed development interventions in</w:t>
      </w:r>
      <w:r w:rsidR="00EE3923" w:rsidRPr="001D3DC6">
        <w:rPr>
          <w:lang w:val="en-GB"/>
        </w:rPr>
        <w:t xml:space="preserve"> regions with special status</w:t>
      </w:r>
      <w:r w:rsidR="00A6622E" w:rsidRPr="001D3DC6">
        <w:rPr>
          <w:lang w:val="en-GB"/>
        </w:rPr>
        <w:t xml:space="preserve"> (including in </w:t>
      </w:r>
      <w:r w:rsidR="00082DE4" w:rsidRPr="001D3DC6">
        <w:rPr>
          <w:lang w:val="en-GB"/>
        </w:rPr>
        <w:t xml:space="preserve">Gagauzia </w:t>
      </w:r>
      <w:r w:rsidR="00082DE4">
        <w:rPr>
          <w:lang w:val="en-GB"/>
        </w:rPr>
        <w:t>and</w:t>
      </w:r>
      <w:r w:rsidR="00850A25">
        <w:rPr>
          <w:lang w:val="en-GB"/>
        </w:rPr>
        <w:t xml:space="preserve"> Transnistria </w:t>
      </w:r>
      <w:r w:rsidR="00A6622E" w:rsidRPr="001D3DC6">
        <w:rPr>
          <w:lang w:val="en-GB"/>
        </w:rPr>
        <w:t>region)</w:t>
      </w:r>
      <w:r w:rsidR="00850A25">
        <w:rPr>
          <w:lang w:val="en-GB"/>
        </w:rPr>
        <w:t>.</w:t>
      </w:r>
    </w:p>
    <w:p w14:paraId="4AD3C5C7" w14:textId="77777777" w:rsidR="001D3DC6" w:rsidRPr="00427DA9" w:rsidRDefault="001D3DC6" w:rsidP="00746499">
      <w:pPr>
        <w:tabs>
          <w:tab w:val="left" w:pos="1170"/>
        </w:tabs>
        <w:autoSpaceDE w:val="0"/>
        <w:autoSpaceDN w:val="0"/>
        <w:adjustRightInd w:val="0"/>
        <w:spacing w:after="160" w:line="252" w:lineRule="auto"/>
        <w:ind w:left="810" w:right="720"/>
        <w:contextualSpacing/>
        <w:jc w:val="both"/>
        <w:rPr>
          <w:sz w:val="12"/>
          <w:szCs w:val="12"/>
          <w:lang w:val="en-GB"/>
        </w:rPr>
      </w:pPr>
    </w:p>
    <w:p w14:paraId="52A94DBE" w14:textId="1F64C44A" w:rsidR="00AA3DAF" w:rsidRPr="00AA3DAF" w:rsidRDefault="00AA3DAF" w:rsidP="00746499">
      <w:pPr>
        <w:tabs>
          <w:tab w:val="left" w:pos="1170"/>
        </w:tabs>
        <w:autoSpaceDE w:val="0"/>
        <w:autoSpaceDN w:val="0"/>
        <w:adjustRightInd w:val="0"/>
        <w:spacing w:after="160" w:line="252" w:lineRule="auto"/>
        <w:ind w:left="810" w:right="720"/>
        <w:contextualSpacing/>
        <w:jc w:val="both"/>
        <w:rPr>
          <w:b/>
          <w:lang w:val="en-GB"/>
        </w:rPr>
      </w:pPr>
      <w:r w:rsidRPr="00AA3DAF">
        <w:rPr>
          <w:b/>
          <w:lang w:val="en-GB"/>
        </w:rPr>
        <w:t>Pillar 3. Climate change, environment and energy</w:t>
      </w:r>
    </w:p>
    <w:p w14:paraId="708C017F" w14:textId="77777777" w:rsidR="00AA3DAF" w:rsidRPr="00427DA9" w:rsidRDefault="00AA3DAF" w:rsidP="00746499">
      <w:pPr>
        <w:tabs>
          <w:tab w:val="left" w:pos="1170"/>
        </w:tabs>
        <w:autoSpaceDE w:val="0"/>
        <w:autoSpaceDN w:val="0"/>
        <w:adjustRightInd w:val="0"/>
        <w:spacing w:after="160" w:line="252" w:lineRule="auto"/>
        <w:ind w:left="810" w:right="720"/>
        <w:contextualSpacing/>
        <w:jc w:val="both"/>
        <w:rPr>
          <w:sz w:val="12"/>
          <w:szCs w:val="12"/>
          <w:lang w:val="en-GB"/>
        </w:rPr>
      </w:pPr>
    </w:p>
    <w:p w14:paraId="004D5BAF" w14:textId="0A8D7C3D" w:rsidR="00453666" w:rsidRDefault="00E17746" w:rsidP="00746499">
      <w:pPr>
        <w:numPr>
          <w:ilvl w:val="0"/>
          <w:numId w:val="2"/>
        </w:numPr>
        <w:tabs>
          <w:tab w:val="left" w:pos="1170"/>
        </w:tabs>
        <w:autoSpaceDE w:val="0"/>
        <w:autoSpaceDN w:val="0"/>
        <w:adjustRightInd w:val="0"/>
        <w:spacing w:after="160" w:line="252" w:lineRule="auto"/>
        <w:ind w:left="810" w:right="720" w:firstLine="0"/>
        <w:contextualSpacing/>
        <w:jc w:val="both"/>
        <w:rPr>
          <w:lang w:val="en-GB"/>
        </w:rPr>
      </w:pPr>
      <w:r w:rsidRPr="001D3DC6">
        <w:rPr>
          <w:lang w:val="en-GB"/>
        </w:rPr>
        <w:t xml:space="preserve">Framing interventions around </w:t>
      </w:r>
      <w:r w:rsidR="00AA3DAF">
        <w:rPr>
          <w:lang w:val="en-GB"/>
        </w:rPr>
        <w:t>Sustainable Development Goals</w:t>
      </w:r>
      <w:r w:rsidR="00AA3DAF" w:rsidRPr="001D3DC6">
        <w:rPr>
          <w:lang w:val="en-GB"/>
        </w:rPr>
        <w:t xml:space="preserve"> </w:t>
      </w:r>
      <w:r w:rsidR="006C1C5D">
        <w:rPr>
          <w:lang w:val="en-GB"/>
        </w:rPr>
        <w:t xml:space="preserve">5, </w:t>
      </w:r>
      <w:r w:rsidRPr="001D3DC6">
        <w:rPr>
          <w:lang w:val="en-GB"/>
        </w:rPr>
        <w:t>8,</w:t>
      </w:r>
      <w:r w:rsidR="004A32D5">
        <w:rPr>
          <w:lang w:val="en-GB"/>
        </w:rPr>
        <w:t xml:space="preserve"> </w:t>
      </w:r>
      <w:r w:rsidRPr="001D3DC6">
        <w:rPr>
          <w:lang w:val="en-GB"/>
        </w:rPr>
        <w:t>11,</w:t>
      </w:r>
      <w:r w:rsidR="004A32D5">
        <w:rPr>
          <w:lang w:val="en-GB"/>
        </w:rPr>
        <w:t xml:space="preserve"> </w:t>
      </w:r>
      <w:r w:rsidRPr="001D3DC6">
        <w:rPr>
          <w:lang w:val="en-GB"/>
        </w:rPr>
        <w:t>12,</w:t>
      </w:r>
      <w:r w:rsidR="004A32D5">
        <w:rPr>
          <w:lang w:val="en-GB"/>
        </w:rPr>
        <w:t xml:space="preserve"> </w:t>
      </w:r>
      <w:r w:rsidRPr="001D3DC6">
        <w:rPr>
          <w:lang w:val="en-GB"/>
        </w:rPr>
        <w:t>13</w:t>
      </w:r>
      <w:r w:rsidR="00453666">
        <w:rPr>
          <w:lang w:val="en-GB"/>
        </w:rPr>
        <w:t>,</w:t>
      </w:r>
      <w:r w:rsidR="004A32D5">
        <w:rPr>
          <w:lang w:val="en-GB"/>
        </w:rPr>
        <w:t xml:space="preserve"> </w:t>
      </w:r>
      <w:r w:rsidR="006C1C5D">
        <w:rPr>
          <w:lang w:val="en-GB"/>
        </w:rPr>
        <w:t xml:space="preserve">15 </w:t>
      </w:r>
      <w:r w:rsidRPr="001D3DC6">
        <w:rPr>
          <w:lang w:val="en-GB"/>
        </w:rPr>
        <w:t>and 1</w:t>
      </w:r>
      <w:r w:rsidR="006C1C5D">
        <w:rPr>
          <w:lang w:val="en-GB"/>
        </w:rPr>
        <w:t>6</w:t>
      </w:r>
      <w:r w:rsidRPr="001D3DC6">
        <w:rPr>
          <w:lang w:val="en-GB"/>
        </w:rPr>
        <w:t>,</w:t>
      </w:r>
      <w:r w:rsidR="00844F9B" w:rsidRPr="001D3DC6">
        <w:rPr>
          <w:lang w:val="en-GB"/>
        </w:rPr>
        <w:t xml:space="preserve"> UNDP will further </w:t>
      </w:r>
      <w:r w:rsidR="00E84643">
        <w:rPr>
          <w:lang w:val="en-GB"/>
        </w:rPr>
        <w:t xml:space="preserve">advance </w:t>
      </w:r>
      <w:r w:rsidR="00B966F5" w:rsidRPr="001D3DC6">
        <w:rPr>
          <w:lang w:val="en-GB"/>
        </w:rPr>
        <w:t>low-carbon and</w:t>
      </w:r>
      <w:r w:rsidR="00844F9B" w:rsidRPr="001D3DC6">
        <w:rPr>
          <w:lang w:val="en-GB"/>
        </w:rPr>
        <w:t xml:space="preserve"> climate-resilient</w:t>
      </w:r>
      <w:r w:rsidR="00B46A94">
        <w:rPr>
          <w:lang w:val="en-GB"/>
        </w:rPr>
        <w:t>,</w:t>
      </w:r>
      <w:r w:rsidR="00844F9B" w:rsidRPr="001D3DC6">
        <w:rPr>
          <w:lang w:val="en-GB"/>
        </w:rPr>
        <w:t xml:space="preserve"> </w:t>
      </w:r>
      <w:r w:rsidR="00B46A94">
        <w:rPr>
          <w:lang w:val="en-GB"/>
        </w:rPr>
        <w:t xml:space="preserve">risk-informed </w:t>
      </w:r>
      <w:r w:rsidR="00844F9B" w:rsidRPr="001D3DC6">
        <w:rPr>
          <w:lang w:val="en-GB"/>
        </w:rPr>
        <w:t xml:space="preserve">development in </w:t>
      </w:r>
      <w:r w:rsidR="00353F60" w:rsidRPr="001D3DC6">
        <w:rPr>
          <w:lang w:val="en-GB"/>
        </w:rPr>
        <w:t xml:space="preserve">line with Paris Agreement </w:t>
      </w:r>
      <w:r w:rsidR="00844F9B" w:rsidRPr="001D3DC6">
        <w:rPr>
          <w:lang w:val="en-GB"/>
        </w:rPr>
        <w:t xml:space="preserve">commitments </w:t>
      </w:r>
      <w:r w:rsidR="00B966F5" w:rsidRPr="001D3DC6">
        <w:rPr>
          <w:lang w:val="en-GB"/>
        </w:rPr>
        <w:t>supporting</w:t>
      </w:r>
      <w:r w:rsidR="00073425" w:rsidRPr="001D3DC6">
        <w:rPr>
          <w:lang w:val="en-GB"/>
        </w:rPr>
        <w:t xml:space="preserve"> a conducive policy framework</w:t>
      </w:r>
      <w:r w:rsidR="00844F9B" w:rsidRPr="001D3DC6">
        <w:rPr>
          <w:lang w:val="en-GB"/>
        </w:rPr>
        <w:t>. Resilient</w:t>
      </w:r>
      <w:r w:rsidR="00AA3DAF">
        <w:rPr>
          <w:lang w:val="en-GB"/>
        </w:rPr>
        <w:t>,</w:t>
      </w:r>
      <w:r w:rsidR="00844F9B" w:rsidRPr="001D3DC6">
        <w:rPr>
          <w:lang w:val="en-GB"/>
        </w:rPr>
        <w:t xml:space="preserve"> green urban development will be promoted through </w:t>
      </w:r>
      <w:r w:rsidR="00453666" w:rsidRPr="001D3DC6">
        <w:rPr>
          <w:lang w:val="en-GB"/>
        </w:rPr>
        <w:t xml:space="preserve">gender-responsive and environmentally sensitive </w:t>
      </w:r>
      <w:r w:rsidR="00353F60" w:rsidRPr="001D3DC6">
        <w:rPr>
          <w:lang w:val="en-GB"/>
        </w:rPr>
        <w:t xml:space="preserve">urban and spatial plans </w:t>
      </w:r>
      <w:r w:rsidR="00844F9B" w:rsidRPr="001D3DC6">
        <w:rPr>
          <w:lang w:val="en-GB"/>
        </w:rPr>
        <w:t xml:space="preserve">and </w:t>
      </w:r>
      <w:r w:rsidR="00453666">
        <w:rPr>
          <w:lang w:val="en-GB"/>
        </w:rPr>
        <w:t xml:space="preserve">by </w:t>
      </w:r>
      <w:r w:rsidR="00844F9B" w:rsidRPr="001D3DC6">
        <w:rPr>
          <w:lang w:val="en-GB"/>
        </w:rPr>
        <w:t>establish</w:t>
      </w:r>
      <w:r w:rsidR="00453666">
        <w:rPr>
          <w:lang w:val="en-GB"/>
        </w:rPr>
        <w:t xml:space="preserve">ing </w:t>
      </w:r>
      <w:r w:rsidR="00353F60" w:rsidRPr="001D3DC6">
        <w:rPr>
          <w:lang w:val="en-GB"/>
        </w:rPr>
        <w:t xml:space="preserve">a </w:t>
      </w:r>
      <w:r w:rsidR="00AA3DAF">
        <w:rPr>
          <w:lang w:val="en-GB"/>
        </w:rPr>
        <w:t>"g</w:t>
      </w:r>
      <w:r w:rsidR="00AA3DAF" w:rsidRPr="001D3DC6">
        <w:rPr>
          <w:lang w:val="en-GB"/>
        </w:rPr>
        <w:t xml:space="preserve">reen </w:t>
      </w:r>
      <w:r w:rsidR="00AA3DAF">
        <w:rPr>
          <w:lang w:val="en-GB"/>
        </w:rPr>
        <w:t>c</w:t>
      </w:r>
      <w:r w:rsidR="00AA3DAF" w:rsidRPr="001D3DC6">
        <w:rPr>
          <w:lang w:val="en-GB"/>
        </w:rPr>
        <w:t>ity</w:t>
      </w:r>
      <w:r w:rsidR="00AA3DAF">
        <w:rPr>
          <w:lang w:val="en-GB"/>
        </w:rPr>
        <w:t>"</w:t>
      </w:r>
      <w:r w:rsidR="00453666">
        <w:rPr>
          <w:lang w:val="en-GB"/>
        </w:rPr>
        <w:t xml:space="preserve"> innovation</w:t>
      </w:r>
      <w:r w:rsidR="00844F9B" w:rsidRPr="001D3DC6">
        <w:rPr>
          <w:lang w:val="en-GB"/>
        </w:rPr>
        <w:t xml:space="preserve"> lab to advance low</w:t>
      </w:r>
      <w:r w:rsidR="00453666">
        <w:rPr>
          <w:lang w:val="en-GB"/>
        </w:rPr>
        <w:t>-</w:t>
      </w:r>
      <w:r w:rsidR="00844F9B" w:rsidRPr="001D3DC6">
        <w:rPr>
          <w:lang w:val="en-GB"/>
        </w:rPr>
        <w:t>carbon development alternatives</w:t>
      </w:r>
      <w:r w:rsidR="00004829" w:rsidRPr="001D3DC6">
        <w:rPr>
          <w:lang w:val="en-GB"/>
        </w:rPr>
        <w:t xml:space="preserve"> </w:t>
      </w:r>
      <w:r w:rsidR="00844F9B" w:rsidRPr="001D3DC6">
        <w:rPr>
          <w:lang w:val="en-GB"/>
        </w:rPr>
        <w:t>in municipal infrastructure</w:t>
      </w:r>
      <w:r w:rsidR="00AA3DAF">
        <w:rPr>
          <w:lang w:val="en-GB"/>
        </w:rPr>
        <w:t>s</w:t>
      </w:r>
      <w:r w:rsidR="003B72FE" w:rsidRPr="001D3DC6">
        <w:rPr>
          <w:lang w:val="en-GB"/>
        </w:rPr>
        <w:t>.</w:t>
      </w:r>
      <w:r w:rsidR="004D48FD" w:rsidRPr="001D3DC6">
        <w:rPr>
          <w:lang w:val="en-GB"/>
        </w:rPr>
        <w:t xml:space="preserve"> </w:t>
      </w:r>
      <w:r w:rsidR="00F372C1" w:rsidRPr="001D3DC6">
        <w:rPr>
          <w:lang w:val="en-GB"/>
        </w:rPr>
        <w:t>Central and local government adaptive</w:t>
      </w:r>
      <w:r w:rsidR="00FF598A" w:rsidRPr="001D3DC6">
        <w:rPr>
          <w:lang w:val="en-GB"/>
        </w:rPr>
        <w:t xml:space="preserve"> </w:t>
      </w:r>
      <w:r w:rsidR="00AA3DAF" w:rsidRPr="001D3DC6">
        <w:rPr>
          <w:lang w:val="en-GB"/>
        </w:rPr>
        <w:t>capacit</w:t>
      </w:r>
      <w:r w:rsidR="00AA3DAF">
        <w:rPr>
          <w:lang w:val="en-GB"/>
        </w:rPr>
        <w:t>ies</w:t>
      </w:r>
      <w:r w:rsidR="00AA3DAF" w:rsidRPr="001D3DC6">
        <w:rPr>
          <w:lang w:val="en-GB"/>
        </w:rPr>
        <w:t xml:space="preserve"> </w:t>
      </w:r>
      <w:r w:rsidR="004D48FD" w:rsidRPr="001D3DC6">
        <w:rPr>
          <w:lang w:val="en-GB"/>
        </w:rPr>
        <w:t>to climate change and natural disasters will be strengthened</w:t>
      </w:r>
      <w:r w:rsidR="00F372C1" w:rsidRPr="001D3DC6">
        <w:rPr>
          <w:lang w:val="en-GB"/>
        </w:rPr>
        <w:t>.</w:t>
      </w:r>
      <w:r w:rsidR="00FF598A" w:rsidRPr="001D3DC6">
        <w:rPr>
          <w:lang w:val="en-GB"/>
        </w:rPr>
        <w:t xml:space="preserve"> </w:t>
      </w:r>
      <w:r w:rsidR="00844F9B" w:rsidRPr="001D3DC6">
        <w:rPr>
          <w:lang w:val="en-GB"/>
        </w:rPr>
        <w:t>Through targeted interventions in waste</w:t>
      </w:r>
      <w:r w:rsidR="00953AB2" w:rsidRPr="001D3DC6">
        <w:rPr>
          <w:lang w:val="en-GB"/>
        </w:rPr>
        <w:t>, medical</w:t>
      </w:r>
      <w:r w:rsidR="00844F9B" w:rsidRPr="001D3DC6">
        <w:rPr>
          <w:lang w:val="en-GB"/>
        </w:rPr>
        <w:t xml:space="preserve"> and chemical management, UNDP will support public institutions </w:t>
      </w:r>
      <w:r w:rsidR="00453666">
        <w:rPr>
          <w:lang w:val="en-GB"/>
        </w:rPr>
        <w:t>to meet</w:t>
      </w:r>
      <w:r w:rsidR="00844F9B" w:rsidRPr="001D3DC6">
        <w:rPr>
          <w:lang w:val="en-GB"/>
        </w:rPr>
        <w:t xml:space="preserve"> international standards for hazardous waste management. </w:t>
      </w:r>
      <w:r w:rsidR="00453666">
        <w:rPr>
          <w:lang w:val="en-GB"/>
        </w:rPr>
        <w:t xml:space="preserve">Partnering with </w:t>
      </w:r>
      <w:r w:rsidR="00874FE8">
        <w:rPr>
          <w:lang w:val="en-GB"/>
        </w:rPr>
        <w:t>international financial institutions</w:t>
      </w:r>
      <w:r w:rsidR="00874FE8" w:rsidDel="0039055D">
        <w:rPr>
          <w:lang w:val="en-GB"/>
        </w:rPr>
        <w:t xml:space="preserve"> </w:t>
      </w:r>
      <w:r w:rsidR="00874FE8">
        <w:rPr>
          <w:lang w:val="en-GB"/>
        </w:rPr>
        <w:t>(</w:t>
      </w:r>
      <w:r w:rsidR="00453666">
        <w:rPr>
          <w:lang w:val="en-GB"/>
        </w:rPr>
        <w:t>IFIs</w:t>
      </w:r>
      <w:r w:rsidR="00874FE8">
        <w:rPr>
          <w:lang w:val="en-GB"/>
        </w:rPr>
        <w:t>)</w:t>
      </w:r>
      <w:r w:rsidR="00453666">
        <w:rPr>
          <w:lang w:val="en-GB"/>
        </w:rPr>
        <w:t xml:space="preserve"> to access international climate </w:t>
      </w:r>
      <w:r w:rsidR="0039055D">
        <w:rPr>
          <w:lang w:val="en-GB"/>
        </w:rPr>
        <w:t>financing</w:t>
      </w:r>
      <w:r w:rsidR="00453666">
        <w:rPr>
          <w:lang w:val="en-GB"/>
        </w:rPr>
        <w:t xml:space="preserve">, </w:t>
      </w:r>
      <w:r w:rsidR="00844F9B" w:rsidRPr="001D3DC6">
        <w:rPr>
          <w:lang w:val="en-GB"/>
        </w:rPr>
        <w:t>UNDP will address issues related to energy poverty</w:t>
      </w:r>
      <w:r w:rsidR="00AF5A84" w:rsidRPr="001D3DC6">
        <w:rPr>
          <w:lang w:val="en-GB"/>
        </w:rPr>
        <w:t xml:space="preserve"> </w:t>
      </w:r>
      <w:r w:rsidR="00844F9B" w:rsidRPr="001D3DC6">
        <w:rPr>
          <w:lang w:val="en-GB"/>
        </w:rPr>
        <w:t xml:space="preserve">by </w:t>
      </w:r>
      <w:r w:rsidR="000375B0" w:rsidRPr="001D3DC6">
        <w:rPr>
          <w:lang w:val="en-GB"/>
        </w:rPr>
        <w:t xml:space="preserve">unlocking </w:t>
      </w:r>
      <w:r w:rsidR="00C15596">
        <w:rPr>
          <w:lang w:val="en-GB"/>
        </w:rPr>
        <w:t xml:space="preserve">the </w:t>
      </w:r>
      <w:r w:rsidR="000375B0" w:rsidRPr="001D3DC6">
        <w:rPr>
          <w:lang w:val="en-GB"/>
        </w:rPr>
        <w:t xml:space="preserve">building retrofit market and </w:t>
      </w:r>
      <w:r w:rsidR="00C527F3" w:rsidRPr="001D3DC6">
        <w:rPr>
          <w:lang w:val="en-GB"/>
        </w:rPr>
        <w:t xml:space="preserve">increasing </w:t>
      </w:r>
      <w:r w:rsidR="00453666">
        <w:rPr>
          <w:lang w:val="en-GB"/>
        </w:rPr>
        <w:t>production of renewable energy, contributing also to sustainable growth and job creation.</w:t>
      </w:r>
    </w:p>
    <w:p w14:paraId="615E43B4" w14:textId="77777777" w:rsidR="00BF79DE" w:rsidRPr="00427DA9" w:rsidRDefault="00BF79DE" w:rsidP="00746499">
      <w:pPr>
        <w:tabs>
          <w:tab w:val="left" w:pos="1170"/>
        </w:tabs>
        <w:autoSpaceDE w:val="0"/>
        <w:autoSpaceDN w:val="0"/>
        <w:adjustRightInd w:val="0"/>
        <w:spacing w:after="160" w:line="252" w:lineRule="auto"/>
        <w:ind w:left="810" w:right="720"/>
        <w:contextualSpacing/>
        <w:jc w:val="both"/>
        <w:rPr>
          <w:sz w:val="12"/>
          <w:szCs w:val="12"/>
          <w:lang w:val="en-GB"/>
        </w:rPr>
      </w:pPr>
    </w:p>
    <w:p w14:paraId="78584AAC" w14:textId="7383076D" w:rsidR="00844F9B" w:rsidRPr="00BF79DE" w:rsidRDefault="00844F9B" w:rsidP="00746499">
      <w:pPr>
        <w:numPr>
          <w:ilvl w:val="0"/>
          <w:numId w:val="2"/>
        </w:numPr>
        <w:tabs>
          <w:tab w:val="left" w:pos="1170"/>
          <w:tab w:val="left" w:pos="6840"/>
        </w:tabs>
        <w:autoSpaceDE w:val="0"/>
        <w:autoSpaceDN w:val="0"/>
        <w:adjustRightInd w:val="0"/>
        <w:spacing w:after="160" w:line="252" w:lineRule="auto"/>
        <w:ind w:left="810" w:right="720" w:firstLine="0"/>
        <w:contextualSpacing/>
        <w:jc w:val="both"/>
        <w:rPr>
          <w:lang w:val="en-GB"/>
        </w:rPr>
      </w:pPr>
      <w:r w:rsidRPr="0039055D">
        <w:rPr>
          <w:lang w:val="en-GB"/>
        </w:rPr>
        <w:t xml:space="preserve">Implementation </w:t>
      </w:r>
      <w:r w:rsidR="001F118F" w:rsidRPr="00BF79DE">
        <w:rPr>
          <w:color w:val="000000" w:themeColor="text1"/>
          <w:lang w:val="en-GB"/>
        </w:rPr>
        <w:t xml:space="preserve">of the new </w:t>
      </w:r>
      <w:r w:rsidR="00F27FED" w:rsidRPr="00BF79DE">
        <w:rPr>
          <w:color w:val="000000" w:themeColor="text1"/>
          <w:lang w:val="en-GB"/>
        </w:rPr>
        <w:t>five-year</w:t>
      </w:r>
      <w:r w:rsidR="001F118F" w:rsidRPr="00BF79DE">
        <w:rPr>
          <w:color w:val="000000" w:themeColor="text1"/>
          <w:lang w:val="en-GB"/>
        </w:rPr>
        <w:t xml:space="preserve"> country programme will rely on </w:t>
      </w:r>
      <w:r w:rsidR="00C15596">
        <w:rPr>
          <w:color w:val="000000" w:themeColor="text1"/>
          <w:lang w:val="en-GB"/>
        </w:rPr>
        <w:t xml:space="preserve">the </w:t>
      </w:r>
      <w:r w:rsidR="00453666">
        <w:rPr>
          <w:color w:val="000000" w:themeColor="text1"/>
          <w:lang w:val="en-GB"/>
        </w:rPr>
        <w:t xml:space="preserve">continued </w:t>
      </w:r>
      <w:r w:rsidR="001F118F" w:rsidRPr="00BF79DE">
        <w:rPr>
          <w:color w:val="000000" w:themeColor="text1"/>
          <w:lang w:val="en-GB"/>
        </w:rPr>
        <w:t>strong partnership</w:t>
      </w:r>
      <w:r w:rsidR="00CD1B7F">
        <w:rPr>
          <w:color w:val="000000" w:themeColor="text1"/>
          <w:lang w:val="en-GB"/>
        </w:rPr>
        <w:t xml:space="preserve"> </w:t>
      </w:r>
      <w:r w:rsidR="00F27FED" w:rsidRPr="00BF79DE">
        <w:rPr>
          <w:color w:val="000000" w:themeColor="text1"/>
          <w:lang w:val="en-GB"/>
        </w:rPr>
        <w:t>with the</w:t>
      </w:r>
      <w:r w:rsidR="00ED2742" w:rsidRPr="00BF79DE">
        <w:rPr>
          <w:color w:val="000000" w:themeColor="text1"/>
          <w:lang w:val="en-GB"/>
        </w:rPr>
        <w:t xml:space="preserve"> Government and local authorities</w:t>
      </w:r>
      <w:r w:rsidR="00CD1B7F">
        <w:rPr>
          <w:color w:val="000000" w:themeColor="text1"/>
          <w:lang w:val="en-GB"/>
        </w:rPr>
        <w:t>,</w:t>
      </w:r>
      <w:r w:rsidR="00CD1B7F" w:rsidRPr="00CD1B7F">
        <w:rPr>
          <w:color w:val="000000" w:themeColor="text1"/>
          <w:lang w:val="en-GB"/>
        </w:rPr>
        <w:t xml:space="preserve"> </w:t>
      </w:r>
      <w:r w:rsidR="00CD1B7F">
        <w:rPr>
          <w:color w:val="000000" w:themeColor="text1"/>
          <w:lang w:val="en-GB"/>
        </w:rPr>
        <w:t>including cost-sharing</w:t>
      </w:r>
      <w:r w:rsidR="00453666">
        <w:rPr>
          <w:color w:val="000000" w:themeColor="text1"/>
          <w:lang w:val="en-GB"/>
        </w:rPr>
        <w:t>.</w:t>
      </w:r>
      <w:r w:rsidR="006C1C5D">
        <w:rPr>
          <w:color w:val="000000" w:themeColor="text1"/>
          <w:lang w:val="en-GB"/>
        </w:rPr>
        <w:t xml:space="preserve"> </w:t>
      </w:r>
      <w:r w:rsidR="00F27FED" w:rsidRPr="00BF79DE">
        <w:rPr>
          <w:color w:val="000000" w:themeColor="text1"/>
          <w:lang w:val="en-GB"/>
        </w:rPr>
        <w:t>UNDP will</w:t>
      </w:r>
      <w:r w:rsidR="00453666">
        <w:rPr>
          <w:color w:val="000000" w:themeColor="text1"/>
          <w:lang w:val="en-GB"/>
        </w:rPr>
        <w:t xml:space="preserve"> expand cooperation with key development </w:t>
      </w:r>
      <w:r w:rsidR="00F27FED" w:rsidRPr="00BF79DE">
        <w:rPr>
          <w:color w:val="000000" w:themeColor="text1"/>
          <w:lang w:val="en-GB"/>
        </w:rPr>
        <w:t>partners</w:t>
      </w:r>
      <w:r w:rsidR="00453666">
        <w:rPr>
          <w:color w:val="000000" w:themeColor="text1"/>
          <w:lang w:val="en-GB"/>
        </w:rPr>
        <w:t xml:space="preserve">, </w:t>
      </w:r>
      <w:r w:rsidR="00F27FED" w:rsidRPr="00BF79DE">
        <w:rPr>
          <w:color w:val="000000" w:themeColor="text1"/>
          <w:lang w:val="en-GB"/>
        </w:rPr>
        <w:t>U</w:t>
      </w:r>
      <w:r w:rsidR="0039055D">
        <w:rPr>
          <w:color w:val="000000" w:themeColor="text1"/>
          <w:lang w:val="en-GB"/>
        </w:rPr>
        <w:t xml:space="preserve">nited </w:t>
      </w:r>
      <w:r w:rsidR="00F27FED" w:rsidRPr="00BF79DE">
        <w:rPr>
          <w:color w:val="000000" w:themeColor="text1"/>
          <w:lang w:val="en-GB"/>
        </w:rPr>
        <w:t>N</w:t>
      </w:r>
      <w:r w:rsidR="0039055D">
        <w:rPr>
          <w:color w:val="000000" w:themeColor="text1"/>
          <w:lang w:val="en-GB"/>
        </w:rPr>
        <w:t>ations</w:t>
      </w:r>
      <w:r w:rsidR="00F27FED" w:rsidRPr="00BF79DE">
        <w:rPr>
          <w:color w:val="000000" w:themeColor="text1"/>
          <w:lang w:val="en-GB"/>
        </w:rPr>
        <w:t xml:space="preserve"> agencies, </w:t>
      </w:r>
      <w:r w:rsidR="003A6778">
        <w:rPr>
          <w:color w:val="000000" w:themeColor="text1"/>
          <w:lang w:val="en-GB"/>
        </w:rPr>
        <w:t xml:space="preserve">the </w:t>
      </w:r>
      <w:r w:rsidR="00F27FED" w:rsidRPr="00BF79DE">
        <w:rPr>
          <w:color w:val="000000" w:themeColor="text1"/>
          <w:lang w:val="en-GB"/>
        </w:rPr>
        <w:t>private sector, academia</w:t>
      </w:r>
      <w:r w:rsidR="00874FE8">
        <w:rPr>
          <w:color w:val="000000" w:themeColor="text1"/>
          <w:lang w:val="en-GB"/>
        </w:rPr>
        <w:t xml:space="preserve"> and</w:t>
      </w:r>
      <w:r w:rsidR="00F27FED" w:rsidRPr="00BF79DE">
        <w:rPr>
          <w:color w:val="000000" w:themeColor="text1"/>
          <w:lang w:val="en-GB"/>
        </w:rPr>
        <w:t xml:space="preserve"> civil society, and </w:t>
      </w:r>
      <w:r w:rsidR="00DD4F66">
        <w:rPr>
          <w:color w:val="000000" w:themeColor="text1"/>
          <w:lang w:val="en-GB"/>
        </w:rPr>
        <w:t xml:space="preserve">further explore diaspora engagement in the </w:t>
      </w:r>
      <w:r w:rsidR="00F85FA6">
        <w:rPr>
          <w:color w:val="000000" w:themeColor="text1"/>
          <w:lang w:val="en-GB"/>
        </w:rPr>
        <w:t xml:space="preserve">country's </w:t>
      </w:r>
      <w:r w:rsidR="00DD4F66">
        <w:rPr>
          <w:color w:val="000000" w:themeColor="text1"/>
          <w:lang w:val="en-GB"/>
        </w:rPr>
        <w:t>development</w:t>
      </w:r>
      <w:r w:rsidR="00F27FED" w:rsidRPr="00BF79DE">
        <w:rPr>
          <w:color w:val="000000" w:themeColor="text1"/>
          <w:lang w:val="en-GB"/>
        </w:rPr>
        <w:t xml:space="preserve">. </w:t>
      </w:r>
      <w:r w:rsidRPr="00BF79DE">
        <w:rPr>
          <w:lang w:val="en-GB"/>
        </w:rPr>
        <w:t xml:space="preserve">The programme will </w:t>
      </w:r>
      <w:r w:rsidR="00ED073C" w:rsidRPr="00BF79DE">
        <w:rPr>
          <w:lang w:val="en-GB"/>
        </w:rPr>
        <w:t xml:space="preserve">benefit from </w:t>
      </w:r>
      <w:r w:rsidR="00073425" w:rsidRPr="00BF79DE">
        <w:rPr>
          <w:lang w:val="en-GB"/>
        </w:rPr>
        <w:t>South-South</w:t>
      </w:r>
      <w:r w:rsidR="00ED2742" w:rsidRPr="00BF79DE">
        <w:rPr>
          <w:lang w:val="en-GB"/>
        </w:rPr>
        <w:t xml:space="preserve"> </w:t>
      </w:r>
      <w:r w:rsidR="001F118F" w:rsidRPr="00BF79DE">
        <w:rPr>
          <w:lang w:val="en-GB"/>
        </w:rPr>
        <w:t xml:space="preserve">and triangular </w:t>
      </w:r>
      <w:r w:rsidRPr="00BF79DE">
        <w:rPr>
          <w:lang w:val="en-GB"/>
        </w:rPr>
        <w:t xml:space="preserve">cooperation, </w:t>
      </w:r>
      <w:r w:rsidR="00874FE8">
        <w:rPr>
          <w:lang w:val="en-GB"/>
        </w:rPr>
        <w:t xml:space="preserve">aiming </w:t>
      </w:r>
      <w:r w:rsidRPr="00BF79DE">
        <w:rPr>
          <w:lang w:val="en-GB"/>
        </w:rPr>
        <w:t>for the transfer of technology and skills</w:t>
      </w:r>
      <w:r w:rsidR="00F27FED" w:rsidRPr="00BF79DE">
        <w:rPr>
          <w:lang w:val="en-GB"/>
        </w:rPr>
        <w:t>, moving cooperation b</w:t>
      </w:r>
      <w:r w:rsidRPr="00BF79DE">
        <w:rPr>
          <w:lang w:val="en-GB"/>
        </w:rPr>
        <w:t>eyond knowledge-sharing to lasting partnerships and concrete resu</w:t>
      </w:r>
      <w:r w:rsidR="00F27FED" w:rsidRPr="00BF79DE">
        <w:rPr>
          <w:lang w:val="en-GB"/>
        </w:rPr>
        <w:t xml:space="preserve">lts that </w:t>
      </w:r>
      <w:r w:rsidR="00ED073C" w:rsidRPr="00BF79DE">
        <w:rPr>
          <w:lang w:val="en-GB"/>
        </w:rPr>
        <w:t xml:space="preserve">change </w:t>
      </w:r>
      <w:r w:rsidR="00F27FED" w:rsidRPr="00BF79DE">
        <w:rPr>
          <w:lang w:val="en-GB"/>
        </w:rPr>
        <w:t>people’s lives</w:t>
      </w:r>
      <w:r w:rsidR="00C15596">
        <w:rPr>
          <w:lang w:val="en-GB"/>
        </w:rPr>
        <w:t>;</w:t>
      </w:r>
      <w:r w:rsidR="00CC0CAA">
        <w:rPr>
          <w:lang w:val="en-GB"/>
        </w:rPr>
        <w:t xml:space="preserve"> a</w:t>
      </w:r>
      <w:r w:rsidRPr="00BF79DE">
        <w:rPr>
          <w:lang w:val="en-GB"/>
        </w:rPr>
        <w:t>chievements in promoting innovation, confidence-building and advancing renewable energy</w:t>
      </w:r>
      <w:r w:rsidR="00DD4F66">
        <w:rPr>
          <w:lang w:val="en-GB"/>
        </w:rPr>
        <w:t xml:space="preserve"> use </w:t>
      </w:r>
      <w:r w:rsidR="00DC0D36" w:rsidRPr="00BF79DE">
        <w:rPr>
          <w:lang w:val="en-GB"/>
        </w:rPr>
        <w:t xml:space="preserve">have </w:t>
      </w:r>
      <w:r w:rsidRPr="00BF79DE">
        <w:rPr>
          <w:lang w:val="en-GB"/>
        </w:rPr>
        <w:t xml:space="preserve">already </w:t>
      </w:r>
      <w:r w:rsidR="00DC0D36" w:rsidRPr="00BF79DE">
        <w:rPr>
          <w:lang w:val="en-GB"/>
        </w:rPr>
        <w:t xml:space="preserve">been </w:t>
      </w:r>
      <w:r w:rsidRPr="00BF79DE">
        <w:rPr>
          <w:lang w:val="en-GB"/>
        </w:rPr>
        <w:t xml:space="preserve">shared through UNDP networks. The country will </w:t>
      </w:r>
      <w:r w:rsidR="00515C04" w:rsidRPr="00BF79DE">
        <w:rPr>
          <w:lang w:val="en-GB"/>
        </w:rPr>
        <w:t xml:space="preserve">learn </w:t>
      </w:r>
      <w:r w:rsidRPr="00BF79DE">
        <w:rPr>
          <w:lang w:val="en-GB"/>
        </w:rPr>
        <w:t xml:space="preserve">from the </w:t>
      </w:r>
      <w:r w:rsidR="00624CCE">
        <w:rPr>
          <w:lang w:val="en-GB"/>
        </w:rPr>
        <w:t xml:space="preserve">accession </w:t>
      </w:r>
      <w:r w:rsidRPr="00BF79DE">
        <w:rPr>
          <w:lang w:val="en-GB"/>
        </w:rPr>
        <w:t xml:space="preserve">experience of new </w:t>
      </w:r>
      <w:r w:rsidR="00953AB2" w:rsidRPr="00BF79DE">
        <w:rPr>
          <w:lang w:val="en-GB"/>
        </w:rPr>
        <w:t>EU Member S</w:t>
      </w:r>
      <w:r w:rsidRPr="00BF79DE">
        <w:rPr>
          <w:lang w:val="en-GB"/>
        </w:rPr>
        <w:t xml:space="preserve">tates in peer-to-peer </w:t>
      </w:r>
      <w:r w:rsidR="00515C04" w:rsidRPr="00BF79DE">
        <w:rPr>
          <w:lang w:val="en-GB"/>
        </w:rPr>
        <w:t>exchange</w:t>
      </w:r>
      <w:r w:rsidR="00073425" w:rsidRPr="00BF79DE">
        <w:rPr>
          <w:lang w:val="en-GB"/>
        </w:rPr>
        <w:t>s</w:t>
      </w:r>
      <w:r w:rsidRPr="00BF79DE">
        <w:rPr>
          <w:lang w:val="en-GB"/>
        </w:rPr>
        <w:t xml:space="preserve">, particularly on </w:t>
      </w:r>
      <w:r w:rsidR="00624CCE">
        <w:rPr>
          <w:lang w:val="en-GB"/>
        </w:rPr>
        <w:t>improving</w:t>
      </w:r>
      <w:r w:rsidRPr="00BF79DE">
        <w:rPr>
          <w:lang w:val="en-GB"/>
        </w:rPr>
        <w:t xml:space="preserve"> business</w:t>
      </w:r>
      <w:r w:rsidR="00DD4F66">
        <w:rPr>
          <w:lang w:val="en-GB"/>
        </w:rPr>
        <w:t xml:space="preserve"> processes to meet client needs</w:t>
      </w:r>
      <w:r w:rsidRPr="00BF79DE">
        <w:rPr>
          <w:lang w:val="en-GB"/>
        </w:rPr>
        <w:t>.</w:t>
      </w:r>
      <w:r w:rsidRPr="00BF79DE">
        <w:rPr>
          <w:rFonts w:cstheme="minorHAnsi"/>
          <w:lang w:val="en-GB"/>
        </w:rPr>
        <w:t xml:space="preserve"> </w:t>
      </w:r>
      <w:r w:rsidR="00CC0CAA">
        <w:rPr>
          <w:lang w:val="en-GB"/>
        </w:rPr>
        <w:t xml:space="preserve">Knowledge products like </w:t>
      </w:r>
      <w:r w:rsidR="00C15596">
        <w:rPr>
          <w:lang w:val="en-GB"/>
        </w:rPr>
        <w:t xml:space="preserve">the </w:t>
      </w:r>
      <w:r w:rsidR="00874FE8">
        <w:rPr>
          <w:lang w:val="en-GB"/>
        </w:rPr>
        <w:t xml:space="preserve">national human development report </w:t>
      </w:r>
      <w:r w:rsidR="00CC0CAA">
        <w:rPr>
          <w:lang w:val="en-GB"/>
        </w:rPr>
        <w:t>and policy briefs</w:t>
      </w:r>
      <w:r w:rsidRPr="00BF79DE">
        <w:rPr>
          <w:lang w:val="en-GB"/>
        </w:rPr>
        <w:t xml:space="preserve"> will be used to generate better understanding of development challenges </w:t>
      </w:r>
      <w:r w:rsidR="00447227">
        <w:rPr>
          <w:lang w:val="en-GB"/>
        </w:rPr>
        <w:t>for an</w:t>
      </w:r>
      <w:r w:rsidRPr="00BF79DE">
        <w:rPr>
          <w:lang w:val="en-GB"/>
        </w:rPr>
        <w:t xml:space="preserve"> inclusive policy dialogue.</w:t>
      </w:r>
      <w:r w:rsidR="00ED2742" w:rsidRPr="00BF79DE">
        <w:rPr>
          <w:lang w:val="en-GB"/>
        </w:rPr>
        <w:t xml:space="preserve"> </w:t>
      </w:r>
      <w:r w:rsidR="00953AB2" w:rsidRPr="00BF79DE">
        <w:rPr>
          <w:lang w:val="en-GB"/>
        </w:rPr>
        <w:t>Building on successful Delivering as O</w:t>
      </w:r>
      <w:r w:rsidRPr="00BF79DE">
        <w:rPr>
          <w:lang w:val="en-GB"/>
        </w:rPr>
        <w:t xml:space="preserve">ne mechanisms and the expertise of United Nations partners, UNDP will ensure the activities of the United Nations system are well coordinated and complementary. </w:t>
      </w:r>
    </w:p>
    <w:p w14:paraId="6E35931B" w14:textId="553BD7FA" w:rsidR="0063402B" w:rsidRDefault="0063402B" w:rsidP="00427DA9">
      <w:pPr>
        <w:pStyle w:val="Heading1"/>
        <w:numPr>
          <w:ilvl w:val="0"/>
          <w:numId w:val="10"/>
        </w:numPr>
        <w:tabs>
          <w:tab w:val="left" w:pos="1170"/>
          <w:tab w:val="left" w:pos="1800"/>
        </w:tabs>
        <w:ind w:left="810" w:right="720" w:hanging="630"/>
        <w:jc w:val="both"/>
        <w:rPr>
          <w:rFonts w:ascii="Times New Roman" w:hAnsi="Times New Roman"/>
          <w:color w:val="000000"/>
          <w:sz w:val="24"/>
          <w:szCs w:val="24"/>
          <w:lang w:val="en-GB"/>
        </w:rPr>
      </w:pPr>
      <w:r w:rsidRPr="004844C0">
        <w:rPr>
          <w:rFonts w:ascii="Times New Roman" w:hAnsi="Times New Roman"/>
          <w:color w:val="000000"/>
          <w:sz w:val="24"/>
          <w:szCs w:val="24"/>
          <w:lang w:val="en-GB"/>
        </w:rPr>
        <w:t xml:space="preserve">Programme and </w:t>
      </w:r>
      <w:r w:rsidR="00874FE8">
        <w:rPr>
          <w:rFonts w:ascii="Times New Roman" w:hAnsi="Times New Roman"/>
          <w:color w:val="000000"/>
          <w:sz w:val="24"/>
          <w:szCs w:val="24"/>
          <w:lang w:val="en-GB"/>
        </w:rPr>
        <w:t>r</w:t>
      </w:r>
      <w:r w:rsidR="00874FE8" w:rsidRPr="004844C0">
        <w:rPr>
          <w:rFonts w:ascii="Times New Roman" w:hAnsi="Times New Roman"/>
          <w:color w:val="000000"/>
          <w:sz w:val="24"/>
          <w:szCs w:val="24"/>
          <w:lang w:val="en-GB"/>
        </w:rPr>
        <w:t xml:space="preserve">isk </w:t>
      </w:r>
      <w:r w:rsidR="00874FE8">
        <w:rPr>
          <w:rFonts w:ascii="Times New Roman" w:hAnsi="Times New Roman"/>
          <w:color w:val="000000"/>
          <w:sz w:val="24"/>
          <w:szCs w:val="24"/>
          <w:lang w:val="en-GB"/>
        </w:rPr>
        <w:t>m</w:t>
      </w:r>
      <w:r w:rsidR="00874FE8" w:rsidRPr="004844C0">
        <w:rPr>
          <w:rFonts w:ascii="Times New Roman" w:hAnsi="Times New Roman"/>
          <w:color w:val="000000"/>
          <w:sz w:val="24"/>
          <w:szCs w:val="24"/>
          <w:lang w:val="en-GB"/>
        </w:rPr>
        <w:t xml:space="preserve">anagement </w:t>
      </w:r>
    </w:p>
    <w:p w14:paraId="6F148E74" w14:textId="77777777" w:rsidR="00427DA9" w:rsidRPr="00427DA9" w:rsidRDefault="00427DA9" w:rsidP="00427DA9">
      <w:pPr>
        <w:rPr>
          <w:lang w:val="en-GB" w:eastAsia="x-none"/>
        </w:rPr>
      </w:pPr>
    </w:p>
    <w:p w14:paraId="18595EEF" w14:textId="150C9603" w:rsidR="00844F9B" w:rsidRPr="006125FC" w:rsidRDefault="00844F9B" w:rsidP="00427DA9">
      <w:pPr>
        <w:pStyle w:val="ListParagraph"/>
        <w:numPr>
          <w:ilvl w:val="0"/>
          <w:numId w:val="2"/>
        </w:numPr>
        <w:tabs>
          <w:tab w:val="left" w:pos="1170"/>
        </w:tabs>
        <w:spacing w:after="120"/>
        <w:ind w:left="810" w:right="720" w:firstLine="0"/>
        <w:jc w:val="both"/>
      </w:pPr>
      <w:r w:rsidRPr="004844C0">
        <w:rPr>
          <w:lang w:val="en-GB"/>
        </w:rPr>
        <w:t>The program</w:t>
      </w:r>
      <w:r w:rsidR="00525FFC">
        <w:rPr>
          <w:lang w:val="en-GB"/>
        </w:rPr>
        <w:t xml:space="preserve">me will be nationally executed. </w:t>
      </w:r>
      <w:r w:rsidR="00525FFC">
        <w:t>However, in exceptional circumstances and in consultation with the Government and UNDP headquarters, direct implementation will be used</w:t>
      </w:r>
      <w:r w:rsidR="009774C5">
        <w:t xml:space="preserve">, </w:t>
      </w:r>
      <w:r w:rsidR="00E82C9A">
        <w:t xml:space="preserve">building on the strong </w:t>
      </w:r>
      <w:r w:rsidR="00874FE8">
        <w:t>capacity of the country office</w:t>
      </w:r>
      <w:r w:rsidR="00E82C9A">
        <w:t xml:space="preserve"> to deliver impactful results</w:t>
      </w:r>
      <w:r w:rsidR="00525FFC">
        <w:t>.</w:t>
      </w:r>
      <w:r w:rsidR="006125FC">
        <w:t xml:space="preserve"> </w:t>
      </w:r>
      <w:r w:rsidR="00874FE8">
        <w:rPr>
          <w:lang w:val="en-GB"/>
        </w:rPr>
        <w:t>The</w:t>
      </w:r>
      <w:r w:rsidR="00874FE8" w:rsidRPr="006125FC">
        <w:rPr>
          <w:lang w:val="en-GB"/>
        </w:rPr>
        <w:t xml:space="preserve"> </w:t>
      </w:r>
      <w:r w:rsidRPr="006125FC">
        <w:rPr>
          <w:lang w:val="en-GB"/>
        </w:rPr>
        <w:t xml:space="preserve">harmonized approach to cash transfers will be used to manage financial risks. </w:t>
      </w:r>
      <w:r w:rsidRPr="006125FC">
        <w:rPr>
          <w:iCs/>
          <w:lang w:val="en-GB"/>
        </w:rPr>
        <w:t>As per</w:t>
      </w:r>
      <w:r w:rsidR="00782ACA">
        <w:rPr>
          <w:iCs/>
          <w:lang w:val="en-GB"/>
        </w:rPr>
        <w:t xml:space="preserve"> Executive Board decision 2013/9</w:t>
      </w:r>
      <w:bookmarkStart w:id="0" w:name="_GoBack"/>
      <w:bookmarkEnd w:id="0"/>
      <w:r w:rsidRPr="006125FC">
        <w:rPr>
          <w:iCs/>
          <w:lang w:val="en-GB"/>
        </w:rPr>
        <w:t>, cost definitions and classifications for programme and development effectiveness will be charged to the projects concerned.</w:t>
      </w:r>
      <w:r w:rsidRPr="006125FC">
        <w:rPr>
          <w:color w:val="000000"/>
          <w:lang w:val="en-GB"/>
        </w:rPr>
        <w:t xml:space="preserve"> </w:t>
      </w:r>
    </w:p>
    <w:p w14:paraId="6A821666" w14:textId="1C021D85" w:rsidR="00844F9B" w:rsidRPr="004844C0" w:rsidRDefault="000D2874" w:rsidP="00427DA9">
      <w:pPr>
        <w:pStyle w:val="ListParagraph"/>
        <w:numPr>
          <w:ilvl w:val="0"/>
          <w:numId w:val="2"/>
        </w:numPr>
        <w:tabs>
          <w:tab w:val="left" w:pos="1170"/>
        </w:tabs>
        <w:spacing w:after="120"/>
        <w:ind w:left="810" w:right="720" w:firstLine="0"/>
        <w:jc w:val="both"/>
        <w:rPr>
          <w:color w:val="000000"/>
          <w:lang w:val="en-GB"/>
        </w:rPr>
      </w:pPr>
      <w:r w:rsidRPr="004844C0">
        <w:rPr>
          <w:color w:val="000000"/>
          <w:lang w:val="en-GB"/>
        </w:rPr>
        <w:t>Th</w:t>
      </w:r>
      <w:r>
        <w:rPr>
          <w:color w:val="000000"/>
          <w:lang w:val="en-GB"/>
        </w:rPr>
        <w:t>i</w:t>
      </w:r>
      <w:r w:rsidRPr="004844C0">
        <w:rPr>
          <w:color w:val="000000"/>
          <w:lang w:val="en-GB"/>
        </w:rPr>
        <w:t>s</w:t>
      </w:r>
      <w:r w:rsidR="00844F9B" w:rsidRPr="004844C0">
        <w:rPr>
          <w:color w:val="000000"/>
          <w:lang w:val="en-GB"/>
        </w:rPr>
        <w:t xml:space="preserve"> </w:t>
      </w:r>
      <w:r w:rsidR="004A32D5">
        <w:rPr>
          <w:color w:val="000000"/>
          <w:lang w:val="en-GB"/>
        </w:rPr>
        <w:t>CPD</w:t>
      </w:r>
      <w:r w:rsidR="00844F9B" w:rsidRPr="004844C0">
        <w:rPr>
          <w:color w:val="000000"/>
          <w:lang w:val="en-GB"/>
        </w:rPr>
        <w:t xml:space="preserve"> outlines </w:t>
      </w:r>
      <w:r w:rsidR="00874FE8">
        <w:rPr>
          <w:color w:val="000000"/>
          <w:lang w:val="en-GB"/>
        </w:rPr>
        <w:t xml:space="preserve">the </w:t>
      </w:r>
      <w:r w:rsidR="00844F9B" w:rsidRPr="004844C0">
        <w:rPr>
          <w:color w:val="000000"/>
          <w:lang w:val="en-GB"/>
        </w:rPr>
        <w:t>UNDP contributions to national results and serves as the primary unit of accountability to the Executive Board for results alignment and resources assigned to the programme at country level. Accountabilities of managers at the country, regional</w:t>
      </w:r>
      <w:r w:rsidR="00C15596">
        <w:rPr>
          <w:color w:val="000000"/>
          <w:lang w:val="en-GB"/>
        </w:rPr>
        <w:t>,</w:t>
      </w:r>
      <w:r w:rsidR="00844F9B" w:rsidRPr="004844C0">
        <w:rPr>
          <w:color w:val="000000"/>
          <w:lang w:val="en-GB"/>
        </w:rPr>
        <w:t xml:space="preserve"> and headquarter levels with respect to country programmes is prescribed in the organization’s </w:t>
      </w:r>
      <w:hyperlink r:id="rId15" w:history="1">
        <w:r w:rsidR="00844F9B" w:rsidRPr="004844C0">
          <w:rPr>
            <w:rStyle w:val="Hyperlink"/>
            <w:lang w:val="en-GB"/>
          </w:rPr>
          <w:t>Programme and Operations Policies and Procedures</w:t>
        </w:r>
      </w:hyperlink>
      <w:r w:rsidR="00844F9B" w:rsidRPr="004844C0">
        <w:rPr>
          <w:color w:val="000000"/>
          <w:lang w:val="en-GB"/>
        </w:rPr>
        <w:t xml:space="preserve"> and the I</w:t>
      </w:r>
      <w:hyperlink r:id="rId16" w:history="1">
        <w:r w:rsidR="00844F9B" w:rsidRPr="004844C0">
          <w:rPr>
            <w:rStyle w:val="Hyperlink"/>
            <w:lang w:val="en-GB"/>
          </w:rPr>
          <w:t>nternal Control Framework</w:t>
        </w:r>
      </w:hyperlink>
      <w:r w:rsidR="00844F9B" w:rsidRPr="004844C0">
        <w:rPr>
          <w:color w:val="000000"/>
          <w:lang w:val="en-GB"/>
        </w:rPr>
        <w:t>.</w:t>
      </w:r>
    </w:p>
    <w:p w14:paraId="7562B156" w14:textId="183341F3" w:rsidR="009774C5" w:rsidRDefault="00844F9B" w:rsidP="00427DA9">
      <w:pPr>
        <w:pStyle w:val="ListParagraph"/>
        <w:numPr>
          <w:ilvl w:val="0"/>
          <w:numId w:val="2"/>
        </w:numPr>
        <w:tabs>
          <w:tab w:val="left" w:pos="1170"/>
        </w:tabs>
        <w:spacing w:after="120"/>
        <w:ind w:left="810" w:right="720" w:firstLine="0"/>
        <w:jc w:val="both"/>
        <w:rPr>
          <w:rStyle w:val="validationrule"/>
          <w:lang w:val="en-GB"/>
        </w:rPr>
      </w:pPr>
      <w:r w:rsidRPr="00ED2742">
        <w:rPr>
          <w:lang w:val="en-GB"/>
        </w:rPr>
        <w:t xml:space="preserve">Together with the </w:t>
      </w:r>
      <w:r w:rsidRPr="00ED2742">
        <w:rPr>
          <w:bCs/>
          <w:lang w:val="en-GB"/>
        </w:rPr>
        <w:t xml:space="preserve">State Chancellery, </w:t>
      </w:r>
      <w:r w:rsidRPr="00ED2742">
        <w:rPr>
          <w:lang w:val="en-GB"/>
        </w:rPr>
        <w:t xml:space="preserve">the </w:t>
      </w:r>
      <w:r w:rsidR="00874FE8">
        <w:rPr>
          <w:lang w:val="en-GB"/>
        </w:rPr>
        <w:t>n</w:t>
      </w:r>
      <w:r w:rsidR="00874FE8" w:rsidRPr="00ED2742">
        <w:rPr>
          <w:lang w:val="en-GB"/>
        </w:rPr>
        <w:t xml:space="preserve">ational </w:t>
      </w:r>
      <w:r w:rsidR="00874FE8">
        <w:rPr>
          <w:lang w:val="en-GB"/>
        </w:rPr>
        <w:t>c</w:t>
      </w:r>
      <w:r w:rsidR="00874FE8" w:rsidRPr="00ED2742">
        <w:rPr>
          <w:lang w:val="en-GB"/>
        </w:rPr>
        <w:t xml:space="preserve">oordinating </w:t>
      </w:r>
      <w:r w:rsidR="00874FE8">
        <w:rPr>
          <w:lang w:val="en-GB"/>
        </w:rPr>
        <w:t>a</w:t>
      </w:r>
      <w:r w:rsidR="00874FE8" w:rsidRPr="00ED2742">
        <w:rPr>
          <w:lang w:val="en-GB"/>
        </w:rPr>
        <w:t>uthority</w:t>
      </w:r>
      <w:r w:rsidRPr="00ED2742">
        <w:rPr>
          <w:lang w:val="en-GB"/>
        </w:rPr>
        <w:t xml:space="preserve">, UNDP will exercise joint </w:t>
      </w:r>
      <w:r w:rsidR="00F31F02">
        <w:rPr>
          <w:bCs/>
          <w:lang w:val="en-GB"/>
        </w:rPr>
        <w:t>ownership</w:t>
      </w:r>
      <w:r w:rsidRPr="00ED2742">
        <w:rPr>
          <w:b/>
          <w:bCs/>
          <w:lang w:val="en-GB"/>
        </w:rPr>
        <w:t xml:space="preserve"> </w:t>
      </w:r>
      <w:r w:rsidRPr="00ED2742">
        <w:rPr>
          <w:lang w:val="en-GB"/>
        </w:rPr>
        <w:t>for the programme</w:t>
      </w:r>
      <w:r w:rsidR="00F31F02">
        <w:rPr>
          <w:lang w:val="en-GB"/>
        </w:rPr>
        <w:t xml:space="preserve">, </w:t>
      </w:r>
      <w:r w:rsidR="00C52DCF">
        <w:rPr>
          <w:lang w:val="en-GB"/>
        </w:rPr>
        <w:t>including joint</w:t>
      </w:r>
      <w:r w:rsidR="00F31F02">
        <w:rPr>
          <w:lang w:val="en-GB"/>
        </w:rPr>
        <w:t xml:space="preserve"> resource</w:t>
      </w:r>
      <w:r w:rsidR="00C52DCF">
        <w:rPr>
          <w:lang w:val="en-GB"/>
        </w:rPr>
        <w:t xml:space="preserve"> mobilization. Strategic </w:t>
      </w:r>
      <w:r w:rsidR="006125FC">
        <w:rPr>
          <w:lang w:val="en-GB"/>
        </w:rPr>
        <w:t xml:space="preserve">and substantive </w:t>
      </w:r>
      <w:r w:rsidR="00C52DCF">
        <w:rPr>
          <w:lang w:val="en-GB"/>
        </w:rPr>
        <w:t xml:space="preserve">partnership with traditional donors (EU, </w:t>
      </w:r>
      <w:r w:rsidR="00874FE8">
        <w:rPr>
          <w:lang w:val="en-GB"/>
        </w:rPr>
        <w:t xml:space="preserve">Governments of </w:t>
      </w:r>
      <w:r w:rsidR="00C52DCF">
        <w:rPr>
          <w:lang w:val="en-GB"/>
        </w:rPr>
        <w:t>Sweden</w:t>
      </w:r>
      <w:r w:rsidR="00874FE8">
        <w:rPr>
          <w:lang w:val="en-GB"/>
        </w:rPr>
        <w:t xml:space="preserve"> and </w:t>
      </w:r>
      <w:r w:rsidR="00C52DCF">
        <w:rPr>
          <w:lang w:val="en-GB"/>
        </w:rPr>
        <w:t>Switzerland) will be further nurtured, while</w:t>
      </w:r>
      <w:r w:rsidR="006125FC">
        <w:rPr>
          <w:lang w:val="en-GB"/>
        </w:rPr>
        <w:t xml:space="preserve"> </w:t>
      </w:r>
      <w:r w:rsidR="0061205E">
        <w:rPr>
          <w:lang w:val="en-GB"/>
        </w:rPr>
        <w:t>engaging</w:t>
      </w:r>
      <w:r w:rsidR="006125FC">
        <w:rPr>
          <w:lang w:val="en-GB"/>
        </w:rPr>
        <w:t xml:space="preserve"> </w:t>
      </w:r>
      <w:r w:rsidR="00C52DCF">
        <w:rPr>
          <w:lang w:val="en-GB"/>
        </w:rPr>
        <w:t xml:space="preserve">emerging donors and </w:t>
      </w:r>
      <w:r w:rsidR="009774C5">
        <w:rPr>
          <w:lang w:val="en-GB"/>
        </w:rPr>
        <w:t xml:space="preserve">continuing the breakthrough in </w:t>
      </w:r>
      <w:r w:rsidR="00C52DCF">
        <w:rPr>
          <w:lang w:val="en-GB"/>
        </w:rPr>
        <w:t xml:space="preserve">government </w:t>
      </w:r>
      <w:r w:rsidR="00E82C9A">
        <w:rPr>
          <w:lang w:val="en-GB"/>
        </w:rPr>
        <w:t xml:space="preserve">and local/regional </w:t>
      </w:r>
      <w:r w:rsidR="00C52DCF">
        <w:rPr>
          <w:lang w:val="en-GB"/>
        </w:rPr>
        <w:t xml:space="preserve">cost-sharing. </w:t>
      </w:r>
      <w:r w:rsidR="00C52DCF">
        <w:rPr>
          <w:rStyle w:val="validationrule"/>
          <w:lang w:val="en-GB"/>
        </w:rPr>
        <w:t xml:space="preserve">IFIs </w:t>
      </w:r>
      <w:r w:rsidRPr="00ED2742">
        <w:rPr>
          <w:rStyle w:val="validationrule"/>
          <w:lang w:val="en-GB"/>
        </w:rPr>
        <w:t xml:space="preserve">and the private sector offer a promising venue in </w:t>
      </w:r>
      <w:r w:rsidR="00953AB2" w:rsidRPr="00ED2742">
        <w:rPr>
          <w:rStyle w:val="validationrule"/>
          <w:lang w:val="en-GB"/>
        </w:rPr>
        <w:t xml:space="preserve">areas </w:t>
      </w:r>
      <w:r w:rsidR="00C52DCF">
        <w:rPr>
          <w:rStyle w:val="validationrule"/>
          <w:lang w:val="en-GB"/>
        </w:rPr>
        <w:t>of</w:t>
      </w:r>
      <w:r w:rsidR="00C15596">
        <w:rPr>
          <w:rStyle w:val="validationrule"/>
          <w:lang w:val="en-GB"/>
        </w:rPr>
        <w:t xml:space="preserve"> blended financing for</w:t>
      </w:r>
      <w:r w:rsidR="00953AB2" w:rsidRPr="00ED2742">
        <w:rPr>
          <w:rStyle w:val="validationrule"/>
          <w:lang w:val="en-GB"/>
        </w:rPr>
        <w:t xml:space="preserve"> energy efficiency</w:t>
      </w:r>
      <w:r w:rsidR="009774C5">
        <w:rPr>
          <w:rStyle w:val="validationrule"/>
          <w:lang w:val="en-GB"/>
        </w:rPr>
        <w:t xml:space="preserve"> and</w:t>
      </w:r>
      <w:r w:rsidRPr="00ED2742">
        <w:rPr>
          <w:rStyle w:val="validationrule"/>
          <w:lang w:val="en-GB"/>
        </w:rPr>
        <w:t xml:space="preserve"> climate</w:t>
      </w:r>
      <w:r w:rsidR="009774C5">
        <w:rPr>
          <w:rStyle w:val="validationrule"/>
          <w:lang w:val="en-GB"/>
        </w:rPr>
        <w:t>.</w:t>
      </w:r>
    </w:p>
    <w:p w14:paraId="14D0C4B3" w14:textId="4279D5AC" w:rsidR="00E80565" w:rsidRPr="00E80565" w:rsidRDefault="004A32D5" w:rsidP="00427DA9">
      <w:pPr>
        <w:pStyle w:val="ListParagraph"/>
        <w:numPr>
          <w:ilvl w:val="0"/>
          <w:numId w:val="2"/>
        </w:numPr>
        <w:tabs>
          <w:tab w:val="left" w:pos="1170"/>
        </w:tabs>
        <w:spacing w:after="120"/>
        <w:ind w:left="810" w:right="720" w:firstLine="0"/>
        <w:jc w:val="both"/>
        <w:rPr>
          <w:color w:val="000000"/>
          <w:lang w:val="en-GB"/>
        </w:rPr>
      </w:pPr>
      <w:r>
        <w:rPr>
          <w:lang w:val="en-GB"/>
        </w:rPr>
        <w:t>J</w:t>
      </w:r>
      <w:r w:rsidR="00874FE8" w:rsidRPr="00ED2742">
        <w:rPr>
          <w:lang w:val="en-GB"/>
        </w:rPr>
        <w:t xml:space="preserve">oint </w:t>
      </w:r>
      <w:r w:rsidR="00844F9B" w:rsidRPr="00ED2742">
        <w:rPr>
          <w:lang w:val="en-GB"/>
        </w:rPr>
        <w:t>U</w:t>
      </w:r>
      <w:r w:rsidR="00874FE8">
        <w:rPr>
          <w:lang w:val="en-GB"/>
        </w:rPr>
        <w:t xml:space="preserve">nited </w:t>
      </w:r>
      <w:r w:rsidR="00844F9B" w:rsidRPr="00ED2742">
        <w:rPr>
          <w:lang w:val="en-GB"/>
        </w:rPr>
        <w:t>N</w:t>
      </w:r>
      <w:r w:rsidR="00874FE8">
        <w:rPr>
          <w:lang w:val="en-GB"/>
        </w:rPr>
        <w:t>ations</w:t>
      </w:r>
      <w:r w:rsidR="00844F9B" w:rsidRPr="00ED2742">
        <w:rPr>
          <w:lang w:val="en-GB"/>
        </w:rPr>
        <w:t xml:space="preserve"> </w:t>
      </w:r>
      <w:r w:rsidR="00874FE8">
        <w:rPr>
          <w:lang w:val="en-GB"/>
        </w:rPr>
        <w:t>workp</w:t>
      </w:r>
      <w:r w:rsidR="00874FE8" w:rsidRPr="00ED2742">
        <w:rPr>
          <w:lang w:val="en-GB"/>
        </w:rPr>
        <w:t>lans</w:t>
      </w:r>
      <w:r w:rsidR="00F30ACE">
        <w:rPr>
          <w:lang w:val="en-GB"/>
        </w:rPr>
        <w:t xml:space="preserve">, </w:t>
      </w:r>
      <w:r w:rsidR="00844F9B" w:rsidRPr="00ED2742">
        <w:rPr>
          <w:lang w:val="en-GB"/>
        </w:rPr>
        <w:t xml:space="preserve">designed </w:t>
      </w:r>
      <w:r w:rsidR="00F30ACE">
        <w:rPr>
          <w:lang w:val="en-GB"/>
        </w:rPr>
        <w:t xml:space="preserve">together </w:t>
      </w:r>
      <w:r w:rsidR="00844F9B" w:rsidRPr="00ED2742">
        <w:rPr>
          <w:lang w:val="en-GB"/>
        </w:rPr>
        <w:t>with national partners</w:t>
      </w:r>
      <w:r>
        <w:rPr>
          <w:lang w:val="en-GB"/>
        </w:rPr>
        <w:t xml:space="preserve">, </w:t>
      </w:r>
      <w:r w:rsidRPr="00ED2742">
        <w:rPr>
          <w:lang w:val="en-GB"/>
        </w:rPr>
        <w:t>will be the main planning and reporting instrument</w:t>
      </w:r>
      <w:r>
        <w:rPr>
          <w:lang w:val="en-GB"/>
        </w:rPr>
        <w:t>s</w:t>
      </w:r>
      <w:r w:rsidR="00844F9B" w:rsidRPr="00ED2742">
        <w:rPr>
          <w:lang w:val="en-GB"/>
        </w:rPr>
        <w:t xml:space="preserve">. </w:t>
      </w:r>
      <w:r w:rsidR="00844F9B" w:rsidRPr="00ED2742">
        <w:rPr>
          <w:color w:val="000000"/>
          <w:lang w:val="en-GB"/>
        </w:rPr>
        <w:t xml:space="preserve">The </w:t>
      </w:r>
      <w:r w:rsidR="00874FE8">
        <w:rPr>
          <w:color w:val="000000"/>
          <w:lang w:val="en-GB"/>
        </w:rPr>
        <w:t>country office</w:t>
      </w:r>
      <w:r w:rsidR="00874FE8" w:rsidRPr="00ED2742">
        <w:rPr>
          <w:color w:val="000000"/>
          <w:lang w:val="en-GB"/>
        </w:rPr>
        <w:t xml:space="preserve"> </w:t>
      </w:r>
      <w:r w:rsidR="00844F9B" w:rsidRPr="00ED2742">
        <w:rPr>
          <w:color w:val="000000"/>
          <w:lang w:val="en-GB"/>
        </w:rPr>
        <w:t>will f</w:t>
      </w:r>
      <w:r w:rsidR="00844F9B" w:rsidRPr="00ED2742">
        <w:rPr>
          <w:lang w:val="en-GB"/>
        </w:rPr>
        <w:t>ocus on increasing the efficienc</w:t>
      </w:r>
      <w:r w:rsidR="00F30ACE">
        <w:rPr>
          <w:lang w:val="en-GB"/>
        </w:rPr>
        <w:t>y of procurement processes</w:t>
      </w:r>
      <w:r w:rsidR="007B6183">
        <w:rPr>
          <w:lang w:val="en-GB"/>
        </w:rPr>
        <w:t xml:space="preserve"> and </w:t>
      </w:r>
      <w:r w:rsidR="00E82C9A">
        <w:rPr>
          <w:lang w:val="en-GB"/>
        </w:rPr>
        <w:t>expanding government cost-sharing in key areas (</w:t>
      </w:r>
      <w:r w:rsidR="00874FE8">
        <w:rPr>
          <w:lang w:val="en-GB"/>
        </w:rPr>
        <w:t xml:space="preserve">e.g., </w:t>
      </w:r>
      <w:r w:rsidR="00E82C9A">
        <w:rPr>
          <w:lang w:val="en-GB"/>
        </w:rPr>
        <w:t>health, internal affairs)</w:t>
      </w:r>
      <w:r w:rsidR="00844F9B" w:rsidRPr="00ED2742">
        <w:rPr>
          <w:lang w:val="en-GB"/>
        </w:rPr>
        <w:t>. Mainstreaming gender, diversity (accessibility), greening-in programmes</w:t>
      </w:r>
      <w:r w:rsidR="00953AB2" w:rsidRPr="00ED2742">
        <w:rPr>
          <w:lang w:val="en-GB"/>
        </w:rPr>
        <w:t xml:space="preserve"> and operations will be </w:t>
      </w:r>
      <w:r w:rsidR="00844F9B" w:rsidRPr="00ED2742">
        <w:rPr>
          <w:lang w:val="en-GB"/>
        </w:rPr>
        <w:t>prioritized.</w:t>
      </w:r>
    </w:p>
    <w:p w14:paraId="1AB91B88" w14:textId="75C0D6F0" w:rsidR="002A7363" w:rsidRPr="00E80565" w:rsidRDefault="00800B2B" w:rsidP="00746499">
      <w:pPr>
        <w:pStyle w:val="ListParagraph"/>
        <w:numPr>
          <w:ilvl w:val="0"/>
          <w:numId w:val="2"/>
        </w:numPr>
        <w:tabs>
          <w:tab w:val="left" w:pos="1170"/>
        </w:tabs>
        <w:ind w:left="810" w:right="720" w:firstLine="0"/>
        <w:jc w:val="both"/>
        <w:rPr>
          <w:color w:val="000000"/>
          <w:lang w:val="en-GB"/>
        </w:rPr>
      </w:pPr>
      <w:r w:rsidRPr="00E80565">
        <w:rPr>
          <w:lang w:val="en-GB"/>
        </w:rPr>
        <w:t>The main external risks to programme implementation stem from the lack of social cohesion</w:t>
      </w:r>
      <w:r w:rsidR="007121FB">
        <w:rPr>
          <w:lang w:val="en-GB"/>
        </w:rPr>
        <w:t xml:space="preserve"> </w:t>
      </w:r>
      <w:r w:rsidRPr="00E80565">
        <w:rPr>
          <w:lang w:val="en-GB"/>
        </w:rPr>
        <w:t xml:space="preserve">and political </w:t>
      </w:r>
      <w:r w:rsidR="003A7183">
        <w:rPr>
          <w:lang w:val="en-GB"/>
        </w:rPr>
        <w:t>divisions</w:t>
      </w:r>
      <w:r w:rsidRPr="00E80565">
        <w:rPr>
          <w:lang w:val="en-GB"/>
        </w:rPr>
        <w:t xml:space="preserve">, coupled with </w:t>
      </w:r>
      <w:r w:rsidR="00974ECB" w:rsidRPr="00E80565">
        <w:rPr>
          <w:lang w:val="en-GB"/>
        </w:rPr>
        <w:t>weak capacity</w:t>
      </w:r>
      <w:r w:rsidRPr="00E80565">
        <w:rPr>
          <w:lang w:val="en-GB"/>
        </w:rPr>
        <w:t xml:space="preserve"> to swiftly implement overdue structural reforms. UNDP will closely monitor the situation, roll-out </w:t>
      </w:r>
      <w:r w:rsidR="00073425" w:rsidRPr="00E80565">
        <w:rPr>
          <w:lang w:val="en-GB"/>
        </w:rPr>
        <w:t xml:space="preserve">the Social Cohesion and Reconciliation Index </w:t>
      </w:r>
      <w:r w:rsidR="00525FFC" w:rsidRPr="00E80565">
        <w:rPr>
          <w:rFonts w:cs="Arial"/>
          <w:shd w:val="clear" w:color="auto" w:fill="FFFFFF"/>
        </w:rPr>
        <w:t xml:space="preserve">and </w:t>
      </w:r>
      <w:r w:rsidR="009774C5" w:rsidRPr="00E80565">
        <w:rPr>
          <w:rFonts w:cs="Arial"/>
          <w:shd w:val="clear" w:color="auto" w:fill="FFFFFF"/>
        </w:rPr>
        <w:t xml:space="preserve">apply </w:t>
      </w:r>
      <w:r w:rsidR="00F30ACE" w:rsidRPr="00E80565">
        <w:rPr>
          <w:rFonts w:cs="Arial"/>
          <w:shd w:val="clear" w:color="auto" w:fill="FFFFFF"/>
        </w:rPr>
        <w:t xml:space="preserve">risk-informed development across all areas. </w:t>
      </w:r>
      <w:r w:rsidRPr="00E80565">
        <w:rPr>
          <w:lang w:val="en-GB"/>
        </w:rPr>
        <w:t xml:space="preserve">The political and security environment in the Transnistrian region may </w:t>
      </w:r>
      <w:r w:rsidR="00D35E48">
        <w:rPr>
          <w:lang w:val="en-GB"/>
        </w:rPr>
        <w:t>hinder</w:t>
      </w:r>
      <w:r w:rsidRPr="00E80565">
        <w:rPr>
          <w:lang w:val="en-GB"/>
        </w:rPr>
        <w:t xml:space="preserve"> </w:t>
      </w:r>
      <w:r w:rsidR="00874FE8" w:rsidRPr="00E80565">
        <w:rPr>
          <w:lang w:val="en-GB"/>
        </w:rPr>
        <w:t>confidence</w:t>
      </w:r>
      <w:r w:rsidR="00874FE8">
        <w:rPr>
          <w:lang w:val="en-GB"/>
        </w:rPr>
        <w:t>-</w:t>
      </w:r>
      <w:r w:rsidRPr="00E80565">
        <w:rPr>
          <w:lang w:val="en-GB"/>
        </w:rPr>
        <w:t>building interventions</w:t>
      </w:r>
      <w:r w:rsidR="00874FE8">
        <w:rPr>
          <w:lang w:val="en-GB"/>
        </w:rPr>
        <w:t xml:space="preserve">, and </w:t>
      </w:r>
      <w:r w:rsidRPr="00E80565">
        <w:rPr>
          <w:lang w:val="en-GB"/>
        </w:rPr>
        <w:t xml:space="preserve">UNDP will plan </w:t>
      </w:r>
      <w:r w:rsidR="00B3500D" w:rsidRPr="00E80565">
        <w:rPr>
          <w:lang w:val="en-GB"/>
        </w:rPr>
        <w:t>cautiously</w:t>
      </w:r>
      <w:r w:rsidR="00353F60" w:rsidRPr="00E80565">
        <w:rPr>
          <w:lang w:val="en-GB"/>
        </w:rPr>
        <w:t xml:space="preserve">, </w:t>
      </w:r>
      <w:r w:rsidRPr="00E80565">
        <w:rPr>
          <w:lang w:val="en-GB"/>
        </w:rPr>
        <w:t>ensuring strict impartiality</w:t>
      </w:r>
      <w:r w:rsidR="00F31F02" w:rsidRPr="00E80565">
        <w:rPr>
          <w:lang w:val="en-GB"/>
        </w:rPr>
        <w:t xml:space="preserve"> when engaging with local administration</w:t>
      </w:r>
      <w:r w:rsidR="00874FE8">
        <w:rPr>
          <w:lang w:val="en-GB"/>
        </w:rPr>
        <w:t>s</w:t>
      </w:r>
      <w:r w:rsidRPr="00E80565">
        <w:rPr>
          <w:lang w:val="en-GB"/>
        </w:rPr>
        <w:t>.</w:t>
      </w:r>
      <w:r w:rsidRPr="00E80565">
        <w:rPr>
          <w:color w:val="000000" w:themeColor="text1"/>
          <w:spacing w:val="2"/>
        </w:rPr>
        <w:t xml:space="preserve"> </w:t>
      </w:r>
      <w:r w:rsidR="00E80565" w:rsidRPr="00E80565">
        <w:rPr>
          <w:color w:val="000000" w:themeColor="text1"/>
          <w:spacing w:val="2"/>
        </w:rPr>
        <w:t xml:space="preserve">Considering the ambitious resource mobilization agenda, the </w:t>
      </w:r>
      <w:r w:rsidR="00874FE8">
        <w:rPr>
          <w:color w:val="000000" w:themeColor="text1"/>
          <w:spacing w:val="2"/>
        </w:rPr>
        <w:t>country office</w:t>
      </w:r>
      <w:r w:rsidR="00874FE8" w:rsidRPr="00E80565">
        <w:rPr>
          <w:color w:val="000000" w:themeColor="text1"/>
          <w:spacing w:val="2"/>
        </w:rPr>
        <w:t xml:space="preserve"> </w:t>
      </w:r>
      <w:r w:rsidR="00E80565" w:rsidRPr="00E80565">
        <w:rPr>
          <w:color w:val="000000" w:themeColor="text1"/>
          <w:spacing w:val="2"/>
        </w:rPr>
        <w:t xml:space="preserve">will rely on its comparative advantage of </w:t>
      </w:r>
      <w:r w:rsidR="00874FE8">
        <w:rPr>
          <w:color w:val="000000" w:themeColor="text1"/>
          <w:spacing w:val="2"/>
        </w:rPr>
        <w:t xml:space="preserve">being </w:t>
      </w:r>
      <w:r w:rsidR="00E80565" w:rsidRPr="00E80565">
        <w:rPr>
          <w:color w:val="000000" w:themeColor="text1"/>
          <w:spacing w:val="2"/>
        </w:rPr>
        <w:t xml:space="preserve">a committed, reliable partner and will explore all opportunities with traditional donors </w:t>
      </w:r>
      <w:r w:rsidR="00C762EE">
        <w:rPr>
          <w:color w:val="000000" w:themeColor="text1"/>
          <w:spacing w:val="2"/>
        </w:rPr>
        <w:t>and</w:t>
      </w:r>
      <w:r w:rsidR="00E80565" w:rsidRPr="00E80565">
        <w:rPr>
          <w:color w:val="000000" w:themeColor="text1"/>
          <w:spacing w:val="2"/>
        </w:rPr>
        <w:t xml:space="preserve"> non-traditional sources, including blending financing.</w:t>
      </w:r>
    </w:p>
    <w:p w14:paraId="4753CD4B" w14:textId="02A9D9A0" w:rsidR="00427DA9" w:rsidRDefault="00427DA9">
      <w:pPr>
        <w:rPr>
          <w:color w:val="000000"/>
          <w:lang w:val="en-GB"/>
        </w:rPr>
      </w:pPr>
      <w:r>
        <w:rPr>
          <w:color w:val="000000"/>
          <w:lang w:val="en-GB"/>
        </w:rPr>
        <w:br w:type="page"/>
      </w:r>
    </w:p>
    <w:p w14:paraId="4A61EEE5" w14:textId="5A2FF83C" w:rsidR="00701B6B" w:rsidRPr="004844C0" w:rsidRDefault="001B3F87" w:rsidP="00427DA9">
      <w:pPr>
        <w:pStyle w:val="Heading1"/>
        <w:tabs>
          <w:tab w:val="left" w:pos="1170"/>
          <w:tab w:val="left" w:pos="1800"/>
        </w:tabs>
        <w:ind w:left="810" w:right="720" w:hanging="450"/>
        <w:jc w:val="both"/>
        <w:rPr>
          <w:rFonts w:ascii="Times New Roman" w:hAnsi="Times New Roman"/>
          <w:color w:val="000000"/>
          <w:sz w:val="24"/>
          <w:szCs w:val="24"/>
          <w:lang w:val="en-GB"/>
        </w:rPr>
      </w:pPr>
      <w:r w:rsidRPr="004844C0">
        <w:rPr>
          <w:rFonts w:ascii="Times New Roman" w:hAnsi="Times New Roman"/>
          <w:color w:val="000000"/>
          <w:sz w:val="24"/>
          <w:szCs w:val="24"/>
          <w:lang w:val="en-GB"/>
        </w:rPr>
        <w:lastRenderedPageBreak/>
        <w:t>IV</w:t>
      </w:r>
      <w:r w:rsidR="00746499">
        <w:rPr>
          <w:rFonts w:ascii="Times New Roman" w:hAnsi="Times New Roman"/>
          <w:color w:val="000000"/>
          <w:sz w:val="24"/>
          <w:szCs w:val="24"/>
          <w:lang w:val="en-GB"/>
        </w:rPr>
        <w:t>.</w:t>
      </w:r>
      <w:r w:rsidR="00746499">
        <w:rPr>
          <w:rFonts w:ascii="Times New Roman" w:hAnsi="Times New Roman"/>
          <w:color w:val="000000"/>
          <w:sz w:val="24"/>
          <w:szCs w:val="24"/>
          <w:lang w:val="en-GB"/>
        </w:rPr>
        <w:tab/>
      </w:r>
      <w:r w:rsidR="001D42D1" w:rsidRPr="004844C0">
        <w:rPr>
          <w:rFonts w:ascii="Times New Roman" w:hAnsi="Times New Roman"/>
          <w:color w:val="000000"/>
          <w:sz w:val="24"/>
          <w:szCs w:val="24"/>
          <w:lang w:val="en-GB"/>
        </w:rPr>
        <w:t xml:space="preserve">Monitoring and </w:t>
      </w:r>
      <w:r w:rsidR="00C762EE">
        <w:rPr>
          <w:rFonts w:ascii="Times New Roman" w:hAnsi="Times New Roman"/>
          <w:color w:val="000000"/>
          <w:sz w:val="24"/>
          <w:szCs w:val="24"/>
          <w:lang w:val="en-GB"/>
        </w:rPr>
        <w:t>e</w:t>
      </w:r>
      <w:r w:rsidR="00C762EE" w:rsidRPr="004844C0">
        <w:rPr>
          <w:rFonts w:ascii="Times New Roman" w:hAnsi="Times New Roman"/>
          <w:color w:val="000000"/>
          <w:sz w:val="24"/>
          <w:szCs w:val="24"/>
          <w:lang w:val="en-GB"/>
        </w:rPr>
        <w:t>valuation</w:t>
      </w:r>
    </w:p>
    <w:p w14:paraId="2A16B3C4" w14:textId="77777777" w:rsidR="00844F9B" w:rsidRPr="00746499" w:rsidRDefault="00844F9B" w:rsidP="00746499">
      <w:pPr>
        <w:tabs>
          <w:tab w:val="left" w:pos="1170"/>
        </w:tabs>
        <w:ind w:left="810" w:right="720"/>
        <w:jc w:val="both"/>
        <w:rPr>
          <w:color w:val="000000"/>
          <w:spacing w:val="-3"/>
          <w:lang w:val="en-GB" w:eastAsia="x-none"/>
        </w:rPr>
      </w:pPr>
    </w:p>
    <w:p w14:paraId="1C8462B1" w14:textId="39101BE0" w:rsidR="00E80565" w:rsidRDefault="00637689" w:rsidP="00746499">
      <w:pPr>
        <w:pStyle w:val="ListParagraph"/>
        <w:numPr>
          <w:ilvl w:val="0"/>
          <w:numId w:val="2"/>
        </w:numPr>
        <w:tabs>
          <w:tab w:val="left" w:pos="1170"/>
          <w:tab w:val="left" w:pos="1530"/>
          <w:tab w:val="left" w:pos="1620"/>
          <w:tab w:val="left" w:pos="1742"/>
        </w:tabs>
        <w:spacing w:after="120"/>
        <w:ind w:left="810" w:right="720" w:firstLine="0"/>
        <w:jc w:val="both"/>
        <w:rPr>
          <w:color w:val="000000" w:themeColor="text1"/>
          <w:lang w:val="en-GB"/>
        </w:rPr>
      </w:pPr>
      <w:r w:rsidRPr="00EE5CCC">
        <w:rPr>
          <w:color w:val="000000" w:themeColor="text1"/>
        </w:rPr>
        <w:t xml:space="preserve"> </w:t>
      </w:r>
      <w:r w:rsidRPr="00EE5CCC">
        <w:rPr>
          <w:color w:val="000000" w:themeColor="text1"/>
          <w:lang w:val="en-GB"/>
        </w:rPr>
        <w:t xml:space="preserve">Outcome and output indicators have been carefully selected to ensure that they can be efficiently measured and monitored. Some indicators are aligned directly to the global UNDP </w:t>
      </w:r>
      <w:r w:rsidR="004A32D5">
        <w:rPr>
          <w:color w:val="000000" w:themeColor="text1"/>
          <w:lang w:val="en-GB"/>
        </w:rPr>
        <w:t xml:space="preserve">Integrated Results </w:t>
      </w:r>
      <w:r w:rsidR="00532E81">
        <w:rPr>
          <w:color w:val="000000" w:themeColor="text1"/>
          <w:lang w:val="en-GB"/>
        </w:rPr>
        <w:t>and Resource</w:t>
      </w:r>
      <w:r w:rsidR="004A32D5">
        <w:rPr>
          <w:color w:val="000000" w:themeColor="text1"/>
          <w:lang w:val="en-GB"/>
        </w:rPr>
        <w:t>s</w:t>
      </w:r>
      <w:r w:rsidR="00532E81">
        <w:rPr>
          <w:color w:val="000000" w:themeColor="text1"/>
          <w:lang w:val="en-GB"/>
        </w:rPr>
        <w:t xml:space="preserve"> Framework</w:t>
      </w:r>
      <w:r w:rsidR="00073425" w:rsidRPr="00EE5CCC">
        <w:rPr>
          <w:color w:val="000000" w:themeColor="text1"/>
          <w:lang w:val="en-GB"/>
        </w:rPr>
        <w:t xml:space="preserve">, </w:t>
      </w:r>
      <w:r w:rsidR="00C762EE">
        <w:rPr>
          <w:color w:val="000000" w:themeColor="text1"/>
          <w:lang w:val="en-GB"/>
        </w:rPr>
        <w:t xml:space="preserve">and </w:t>
      </w:r>
      <w:r w:rsidR="00073425" w:rsidRPr="00EE5CCC">
        <w:rPr>
          <w:color w:val="000000" w:themeColor="text1"/>
          <w:lang w:val="en-GB"/>
        </w:rPr>
        <w:t>o</w:t>
      </w:r>
      <w:r w:rsidRPr="00EE5CCC">
        <w:rPr>
          <w:color w:val="000000" w:themeColor="text1"/>
          <w:lang w:val="en-GB"/>
        </w:rPr>
        <w:t>thers rely on nationally produced data</w:t>
      </w:r>
      <w:r w:rsidR="00EE5CCC" w:rsidRPr="00EE5CCC">
        <w:rPr>
          <w:color w:val="000000" w:themeColor="text1"/>
          <w:lang w:val="en-GB"/>
        </w:rPr>
        <w:t xml:space="preserve"> and </w:t>
      </w:r>
      <w:r w:rsidRPr="00EE5CCC">
        <w:rPr>
          <w:color w:val="000000" w:themeColor="text1"/>
          <w:lang w:val="en-GB"/>
        </w:rPr>
        <w:t xml:space="preserve">annual </w:t>
      </w:r>
      <w:r w:rsidR="00C762EE">
        <w:rPr>
          <w:color w:val="000000" w:themeColor="text1"/>
          <w:lang w:val="en-GB"/>
        </w:rPr>
        <w:t xml:space="preserve">Sustainable Development Goal </w:t>
      </w:r>
      <w:r w:rsidRPr="00EE5CCC">
        <w:rPr>
          <w:color w:val="000000" w:themeColor="text1"/>
          <w:lang w:val="en-GB"/>
        </w:rPr>
        <w:t xml:space="preserve">reports. UNDP will </w:t>
      </w:r>
      <w:r w:rsidR="00EE5CCC">
        <w:rPr>
          <w:color w:val="000000" w:themeColor="text1"/>
          <w:lang w:val="en-GB"/>
        </w:rPr>
        <w:t xml:space="preserve">continue </w:t>
      </w:r>
      <w:r w:rsidR="00C762EE">
        <w:rPr>
          <w:color w:val="000000" w:themeColor="text1"/>
          <w:lang w:val="en-GB"/>
        </w:rPr>
        <w:t xml:space="preserve">to </w:t>
      </w:r>
      <w:r w:rsidRPr="00EE5CCC">
        <w:rPr>
          <w:color w:val="000000" w:themeColor="text1"/>
          <w:lang w:val="en-GB"/>
        </w:rPr>
        <w:t>rely on evaluations for programming decisions. Evaluations will cover outcomes rather than individual projects to further strengthen the application of integrated, issues-based</w:t>
      </w:r>
      <w:r w:rsidR="00EE5CCC">
        <w:rPr>
          <w:color w:val="000000" w:themeColor="text1"/>
          <w:lang w:val="en-GB"/>
        </w:rPr>
        <w:t xml:space="preserve"> approach. </w:t>
      </w:r>
    </w:p>
    <w:p w14:paraId="288AF373" w14:textId="0C9F175B" w:rsidR="006B6E78" w:rsidRDefault="00554BB6" w:rsidP="00746499">
      <w:pPr>
        <w:pStyle w:val="ListParagraph"/>
        <w:numPr>
          <w:ilvl w:val="0"/>
          <w:numId w:val="2"/>
        </w:numPr>
        <w:tabs>
          <w:tab w:val="left" w:pos="1170"/>
          <w:tab w:val="left" w:pos="1530"/>
          <w:tab w:val="left" w:pos="1620"/>
          <w:tab w:val="left" w:pos="1742"/>
        </w:tabs>
        <w:spacing w:after="120"/>
        <w:ind w:left="810" w:right="720" w:firstLine="0"/>
        <w:jc w:val="both"/>
        <w:rPr>
          <w:color w:val="000000" w:themeColor="text1"/>
          <w:lang w:val="en-GB"/>
        </w:rPr>
      </w:pPr>
      <w:r w:rsidRPr="00E80565">
        <w:rPr>
          <w:color w:val="000000" w:themeColor="text1"/>
          <w:lang w:val="en-GB"/>
        </w:rPr>
        <w:t xml:space="preserve">The capacities of the National Bureau of Statistics will be strengthened to produce data meeting user needs, inform decision-making and </w:t>
      </w:r>
      <w:r w:rsidR="00C87078">
        <w:rPr>
          <w:color w:val="000000" w:themeColor="text1"/>
          <w:lang w:val="en-GB"/>
        </w:rPr>
        <w:t xml:space="preserve">for </w:t>
      </w:r>
      <w:r w:rsidRPr="00E80565">
        <w:rPr>
          <w:color w:val="000000" w:themeColor="text1"/>
          <w:lang w:val="en-GB"/>
        </w:rPr>
        <w:t xml:space="preserve">monitoring </w:t>
      </w:r>
      <w:r w:rsidR="004A32D5">
        <w:rPr>
          <w:color w:val="000000" w:themeColor="text1"/>
          <w:lang w:val="en-GB"/>
        </w:rPr>
        <w:t xml:space="preserve">progress towards </w:t>
      </w:r>
      <w:r w:rsidR="00C762EE">
        <w:rPr>
          <w:color w:val="000000" w:themeColor="text1"/>
          <w:lang w:val="en-GB"/>
        </w:rPr>
        <w:t>the Sustainable Development Goals</w:t>
      </w:r>
      <w:r w:rsidRPr="00E80565">
        <w:rPr>
          <w:color w:val="000000" w:themeColor="text1"/>
          <w:lang w:val="en-GB"/>
        </w:rPr>
        <w:t xml:space="preserve">. </w:t>
      </w:r>
      <w:r w:rsidR="00CD1B7F" w:rsidRPr="00E80565">
        <w:rPr>
          <w:color w:val="000000" w:themeColor="text1"/>
          <w:lang w:val="en-GB"/>
        </w:rPr>
        <w:t xml:space="preserve">Specific focus will be on </w:t>
      </w:r>
      <w:r w:rsidR="00C87078">
        <w:rPr>
          <w:color w:val="000000" w:themeColor="text1"/>
          <w:lang w:val="en-GB"/>
        </w:rPr>
        <w:t xml:space="preserve">the </w:t>
      </w:r>
      <w:r w:rsidR="00CD1B7F" w:rsidRPr="00E80565">
        <w:rPr>
          <w:color w:val="000000" w:themeColor="text1"/>
          <w:lang w:val="en-GB"/>
        </w:rPr>
        <w:t xml:space="preserve">generation of disaggregated data, implementation of </w:t>
      </w:r>
      <w:r w:rsidR="00C762EE">
        <w:rPr>
          <w:color w:val="000000" w:themeColor="text1"/>
          <w:lang w:val="en-GB"/>
        </w:rPr>
        <w:t>the "</w:t>
      </w:r>
      <w:r w:rsidR="00CD1B7F" w:rsidRPr="00E80565">
        <w:rPr>
          <w:color w:val="000000" w:themeColor="text1"/>
          <w:lang w:val="en-GB"/>
        </w:rPr>
        <w:t xml:space="preserve">no one left </w:t>
      </w:r>
      <w:r w:rsidR="004A32D5" w:rsidRPr="00E80565">
        <w:rPr>
          <w:color w:val="000000" w:themeColor="text1"/>
          <w:lang w:val="en-GB"/>
        </w:rPr>
        <w:t>behind</w:t>
      </w:r>
      <w:r w:rsidR="004A32D5">
        <w:rPr>
          <w:color w:val="000000" w:themeColor="text1"/>
          <w:lang w:val="en-GB"/>
        </w:rPr>
        <w:t>"</w:t>
      </w:r>
      <w:r w:rsidR="004A32D5" w:rsidRPr="00E80565">
        <w:rPr>
          <w:color w:val="000000" w:themeColor="text1"/>
          <w:lang w:val="en-GB"/>
        </w:rPr>
        <w:t xml:space="preserve"> </w:t>
      </w:r>
      <w:r w:rsidR="00CD1B7F" w:rsidRPr="00E80565">
        <w:rPr>
          <w:color w:val="000000" w:themeColor="text1"/>
          <w:lang w:val="en-GB"/>
        </w:rPr>
        <w:t>principle and timeliness</w:t>
      </w:r>
      <w:r w:rsidR="00C762EE">
        <w:rPr>
          <w:color w:val="000000" w:themeColor="text1"/>
          <w:lang w:val="en-GB"/>
        </w:rPr>
        <w:t>.</w:t>
      </w:r>
      <w:r w:rsidR="00CD1B7F" w:rsidRPr="00E80565">
        <w:rPr>
          <w:color w:val="000000" w:themeColor="text1"/>
          <w:lang w:val="en-GB"/>
        </w:rPr>
        <w:t xml:space="preserve"> </w:t>
      </w:r>
      <w:r w:rsidR="00C762EE">
        <w:rPr>
          <w:color w:val="000000" w:themeColor="text1"/>
          <w:lang w:val="en-GB"/>
        </w:rPr>
        <w:t>I</w:t>
      </w:r>
      <w:r w:rsidR="00CD1B7F" w:rsidRPr="00E80565">
        <w:rPr>
          <w:color w:val="000000" w:themeColor="text1"/>
          <w:lang w:val="en-GB"/>
        </w:rPr>
        <w:t xml:space="preserve">nnovative approaches will </w:t>
      </w:r>
      <w:r w:rsidR="009922A0">
        <w:rPr>
          <w:color w:val="000000" w:themeColor="text1"/>
          <w:lang w:val="en-GB"/>
        </w:rPr>
        <w:t>include</w:t>
      </w:r>
      <w:r w:rsidR="009922A0" w:rsidRPr="00E80565">
        <w:rPr>
          <w:color w:val="000000" w:themeColor="text1"/>
          <w:lang w:val="en-GB"/>
        </w:rPr>
        <w:t xml:space="preserve"> </w:t>
      </w:r>
      <w:r w:rsidR="00CD1B7F" w:rsidRPr="00E80565">
        <w:rPr>
          <w:color w:val="000000" w:themeColor="text1"/>
          <w:lang w:val="en-GB"/>
        </w:rPr>
        <w:t>use of big data, randomized control trials</w:t>
      </w:r>
      <w:r w:rsidR="00C87078">
        <w:rPr>
          <w:color w:val="000000" w:themeColor="text1"/>
          <w:lang w:val="en-GB"/>
        </w:rPr>
        <w:t xml:space="preserve"> and</w:t>
      </w:r>
      <w:r w:rsidR="00C87078" w:rsidRPr="00E80565">
        <w:rPr>
          <w:color w:val="000000" w:themeColor="text1"/>
          <w:lang w:val="en-GB"/>
        </w:rPr>
        <w:t xml:space="preserve"> </w:t>
      </w:r>
      <w:r w:rsidR="009922A0">
        <w:rPr>
          <w:color w:val="000000" w:themeColor="text1"/>
          <w:lang w:val="en-GB"/>
        </w:rPr>
        <w:t xml:space="preserve">using future scenarios </w:t>
      </w:r>
      <w:r w:rsidR="00D92BFA">
        <w:rPr>
          <w:color w:val="000000" w:themeColor="text1"/>
          <w:lang w:val="en-GB"/>
        </w:rPr>
        <w:t xml:space="preserve">(foresight) </w:t>
      </w:r>
      <w:r w:rsidR="00CD1B7F" w:rsidRPr="00E80565">
        <w:rPr>
          <w:color w:val="000000" w:themeColor="text1"/>
          <w:lang w:val="en-GB"/>
        </w:rPr>
        <w:t xml:space="preserve">for </w:t>
      </w:r>
      <w:r w:rsidR="009922A0" w:rsidRPr="00E80565">
        <w:rPr>
          <w:color w:val="000000" w:themeColor="text1"/>
          <w:lang w:val="en-GB"/>
        </w:rPr>
        <w:t>programm</w:t>
      </w:r>
      <w:r w:rsidR="009922A0">
        <w:rPr>
          <w:color w:val="000000" w:themeColor="text1"/>
          <w:lang w:val="en-GB"/>
        </w:rPr>
        <w:t>e planning</w:t>
      </w:r>
      <w:r w:rsidR="00CD1B7F" w:rsidRPr="00E80565">
        <w:rPr>
          <w:color w:val="000000" w:themeColor="text1"/>
          <w:lang w:val="en-GB"/>
        </w:rPr>
        <w:t>. T</w:t>
      </w:r>
      <w:r w:rsidR="00637689" w:rsidRPr="00E80565">
        <w:rPr>
          <w:color w:val="000000" w:themeColor="text1"/>
          <w:lang w:val="en-GB"/>
        </w:rPr>
        <w:t xml:space="preserve">he UNDP </w:t>
      </w:r>
      <w:r w:rsidR="00C762EE">
        <w:rPr>
          <w:color w:val="000000" w:themeColor="text1"/>
          <w:lang w:val="en-GB"/>
        </w:rPr>
        <w:t>g</w:t>
      </w:r>
      <w:r w:rsidR="00C762EE" w:rsidRPr="00E80565">
        <w:rPr>
          <w:color w:val="000000" w:themeColor="text1"/>
          <w:lang w:val="en-GB"/>
        </w:rPr>
        <w:t xml:space="preserve">ender </w:t>
      </w:r>
      <w:r w:rsidR="00C762EE">
        <w:rPr>
          <w:color w:val="000000" w:themeColor="text1"/>
          <w:lang w:val="en-GB"/>
        </w:rPr>
        <w:t>m</w:t>
      </w:r>
      <w:r w:rsidR="00C762EE" w:rsidRPr="00E80565">
        <w:rPr>
          <w:color w:val="000000" w:themeColor="text1"/>
          <w:lang w:val="en-GB"/>
        </w:rPr>
        <w:t xml:space="preserve">arker </w:t>
      </w:r>
      <w:r w:rsidR="00637689" w:rsidRPr="00E80565">
        <w:rPr>
          <w:color w:val="000000" w:themeColor="text1"/>
          <w:lang w:val="en-GB"/>
        </w:rPr>
        <w:t>will be used to monitor expenditures and improve decision-mak</w:t>
      </w:r>
      <w:r w:rsidR="00C527F3" w:rsidRPr="00E80565">
        <w:rPr>
          <w:color w:val="000000" w:themeColor="text1"/>
          <w:lang w:val="en-GB"/>
        </w:rPr>
        <w:t xml:space="preserve">ing, </w:t>
      </w:r>
      <w:r w:rsidR="009922A0">
        <w:rPr>
          <w:color w:val="000000" w:themeColor="text1"/>
          <w:lang w:val="en-GB"/>
        </w:rPr>
        <w:t xml:space="preserve">with the </w:t>
      </w:r>
      <w:r w:rsidR="00C527F3" w:rsidRPr="00E80565">
        <w:rPr>
          <w:color w:val="000000" w:themeColor="text1"/>
          <w:lang w:val="en-GB"/>
        </w:rPr>
        <w:t xml:space="preserve">aim to invest at least 15 </w:t>
      </w:r>
      <w:r w:rsidR="008C3E7B" w:rsidRPr="00E80565">
        <w:rPr>
          <w:color w:val="000000" w:themeColor="text1"/>
          <w:lang w:val="en-GB"/>
        </w:rPr>
        <w:t>per</w:t>
      </w:r>
      <w:r w:rsidR="00C762EE">
        <w:rPr>
          <w:color w:val="000000" w:themeColor="text1"/>
          <w:lang w:val="en-GB"/>
        </w:rPr>
        <w:t xml:space="preserve"> </w:t>
      </w:r>
      <w:r w:rsidR="008C3E7B" w:rsidRPr="00E80565">
        <w:rPr>
          <w:color w:val="000000" w:themeColor="text1"/>
          <w:lang w:val="en-GB"/>
        </w:rPr>
        <w:t>cent</w:t>
      </w:r>
      <w:r w:rsidR="00637689" w:rsidRPr="00E80565">
        <w:rPr>
          <w:color w:val="000000" w:themeColor="text1"/>
          <w:lang w:val="en-GB"/>
        </w:rPr>
        <w:t xml:space="preserve"> of </w:t>
      </w:r>
      <w:r w:rsidR="00C762EE">
        <w:rPr>
          <w:color w:val="000000" w:themeColor="text1"/>
          <w:lang w:val="en-GB"/>
        </w:rPr>
        <w:t xml:space="preserve">the country </w:t>
      </w:r>
      <w:r w:rsidR="0070359A">
        <w:rPr>
          <w:color w:val="000000" w:themeColor="text1"/>
          <w:lang w:val="en-GB"/>
        </w:rPr>
        <w:t>office</w:t>
      </w:r>
      <w:r w:rsidR="00C762EE">
        <w:rPr>
          <w:color w:val="000000" w:themeColor="text1"/>
          <w:lang w:val="en-GB"/>
        </w:rPr>
        <w:t xml:space="preserve"> </w:t>
      </w:r>
      <w:r w:rsidR="00637689" w:rsidRPr="00E80565">
        <w:rPr>
          <w:color w:val="000000" w:themeColor="text1"/>
          <w:lang w:val="en-GB"/>
        </w:rPr>
        <w:t xml:space="preserve">budget </w:t>
      </w:r>
      <w:r w:rsidR="00C527F3" w:rsidRPr="00E80565">
        <w:rPr>
          <w:color w:val="000000" w:themeColor="text1"/>
          <w:lang w:val="en-GB"/>
        </w:rPr>
        <w:t>i</w:t>
      </w:r>
      <w:r w:rsidR="00637689" w:rsidRPr="00E80565">
        <w:rPr>
          <w:color w:val="000000" w:themeColor="text1"/>
          <w:lang w:val="en-GB"/>
        </w:rPr>
        <w:t xml:space="preserve">n </w:t>
      </w:r>
      <w:r w:rsidR="00353F60" w:rsidRPr="00E80565">
        <w:rPr>
          <w:color w:val="000000" w:themeColor="text1"/>
          <w:lang w:val="en-GB"/>
        </w:rPr>
        <w:t>interventions to achieve results in gender equality.</w:t>
      </w:r>
    </w:p>
    <w:p w14:paraId="686981B6" w14:textId="77777777" w:rsidR="00746499" w:rsidRPr="00E80565" w:rsidRDefault="00746499" w:rsidP="00746499">
      <w:pPr>
        <w:pStyle w:val="ListParagraph"/>
        <w:tabs>
          <w:tab w:val="left" w:pos="1170"/>
          <w:tab w:val="left" w:pos="1530"/>
          <w:tab w:val="left" w:pos="1620"/>
          <w:tab w:val="left" w:pos="1742"/>
        </w:tabs>
        <w:spacing w:after="120"/>
        <w:ind w:left="810" w:right="720"/>
        <w:jc w:val="both"/>
        <w:rPr>
          <w:color w:val="000000" w:themeColor="text1"/>
          <w:lang w:val="en-GB"/>
        </w:rPr>
      </w:pPr>
    </w:p>
    <w:p w14:paraId="75AA507A" w14:textId="77777777" w:rsidR="006B6E78" w:rsidRPr="004844C0" w:rsidRDefault="006B6E78" w:rsidP="00746499">
      <w:pPr>
        <w:tabs>
          <w:tab w:val="left" w:pos="1170"/>
        </w:tabs>
        <w:ind w:left="810" w:right="720"/>
        <w:jc w:val="both"/>
        <w:rPr>
          <w:lang w:val="en-GB"/>
        </w:rPr>
        <w:sectPr w:rsidR="006B6E78" w:rsidRPr="004844C0" w:rsidSect="00FE35E8">
          <w:headerReference w:type="even" r:id="rId17"/>
          <w:headerReference w:type="default" r:id="rId18"/>
          <w:footerReference w:type="even" r:id="rId19"/>
          <w:footerReference w:type="default" r:id="rId20"/>
          <w:headerReference w:type="first" r:id="rId21"/>
          <w:pgSz w:w="12240" w:h="15840"/>
          <w:pgMar w:top="1152" w:right="1440" w:bottom="1152" w:left="1440" w:header="720" w:footer="720" w:gutter="0"/>
          <w:cols w:space="720"/>
          <w:titlePg/>
          <w:docGrid w:linePitch="272"/>
        </w:sectPr>
      </w:pPr>
    </w:p>
    <w:p w14:paraId="58633011" w14:textId="1981A018" w:rsidR="00746499" w:rsidRPr="00F24742" w:rsidRDefault="00746499" w:rsidP="00746499">
      <w:pPr>
        <w:spacing w:after="120"/>
        <w:ind w:hanging="142"/>
        <w:outlineLvl w:val="3"/>
        <w:rPr>
          <w:i/>
          <w:color w:val="000000"/>
          <w:lang w:val="en-GB"/>
        </w:rPr>
      </w:pPr>
      <w:r w:rsidRPr="007432E0">
        <w:rPr>
          <w:b/>
          <w:bCs/>
          <w:color w:val="000000"/>
          <w:sz w:val="24"/>
          <w:szCs w:val="24"/>
          <w:lang w:val="en-GB" w:eastAsia="fr-FR"/>
        </w:rPr>
        <w:lastRenderedPageBreak/>
        <w:t xml:space="preserve">Annex. </w:t>
      </w:r>
      <w:r w:rsidRPr="007432E0">
        <w:rPr>
          <w:b/>
          <w:bCs/>
          <w:color w:val="000000"/>
          <w:kern w:val="14"/>
          <w:sz w:val="24"/>
          <w:szCs w:val="24"/>
          <w:lang w:val="en-GB" w:eastAsia="fr-FR"/>
        </w:rPr>
        <w:t xml:space="preserve">Results and resources framework for </w:t>
      </w:r>
      <w:r>
        <w:rPr>
          <w:b/>
          <w:bCs/>
          <w:color w:val="000000"/>
          <w:kern w:val="14"/>
          <w:sz w:val="24"/>
          <w:szCs w:val="24"/>
          <w:lang w:val="en-GB" w:eastAsia="fr-FR"/>
        </w:rPr>
        <w:t>the Republic of Moldova</w:t>
      </w:r>
      <w:r w:rsidRPr="007432E0">
        <w:rPr>
          <w:b/>
          <w:bCs/>
          <w:color w:val="000000"/>
          <w:kern w:val="14"/>
          <w:sz w:val="24"/>
          <w:szCs w:val="24"/>
          <w:lang w:val="en-GB" w:eastAsia="fr-FR"/>
        </w:rPr>
        <w:t xml:space="preserve"> (2018-2022)</w:t>
      </w:r>
    </w:p>
    <w:tbl>
      <w:tblPr>
        <w:tblW w:w="5439"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802"/>
        <w:gridCol w:w="41"/>
        <w:gridCol w:w="1978"/>
        <w:gridCol w:w="50"/>
        <w:gridCol w:w="4447"/>
        <w:gridCol w:w="68"/>
        <w:gridCol w:w="2198"/>
        <w:gridCol w:w="79"/>
        <w:gridCol w:w="1998"/>
        <w:gridCol w:w="53"/>
      </w:tblGrid>
      <w:tr w:rsidR="005C1151" w:rsidRPr="00746499" w14:paraId="3CA533EA" w14:textId="77777777" w:rsidTr="006E3010">
        <w:tc>
          <w:tcPr>
            <w:tcW w:w="5000" w:type="pct"/>
            <w:gridSpan w:val="10"/>
            <w:shd w:val="clear" w:color="auto" w:fill="auto"/>
            <w:tcMar>
              <w:top w:w="72" w:type="dxa"/>
              <w:left w:w="144" w:type="dxa"/>
              <w:bottom w:w="72" w:type="dxa"/>
              <w:right w:w="144" w:type="dxa"/>
            </w:tcMar>
          </w:tcPr>
          <w:p w14:paraId="664AE8A4" w14:textId="4B2397AA" w:rsidR="005C1151" w:rsidRPr="00746499" w:rsidRDefault="005C1151" w:rsidP="009B34A2">
            <w:pPr>
              <w:rPr>
                <w:b/>
                <w:bCs/>
                <w:color w:val="000000"/>
                <w:sz w:val="17"/>
                <w:szCs w:val="17"/>
                <w:lang w:val="en-GB"/>
              </w:rPr>
            </w:pPr>
            <w:r w:rsidRPr="00746499">
              <w:rPr>
                <w:b/>
                <w:bCs/>
                <w:color w:val="000000"/>
                <w:sz w:val="17"/>
                <w:szCs w:val="17"/>
                <w:lang w:val="en-GB"/>
              </w:rPr>
              <w:t xml:space="preserve">NATIONAL PRIORITY OR GOAL: </w:t>
            </w:r>
            <w:r w:rsidRPr="00746499">
              <w:rPr>
                <w:bCs/>
                <w:color w:val="000000"/>
                <w:sz w:val="17"/>
                <w:szCs w:val="17"/>
                <w:lang w:val="en-GB"/>
              </w:rPr>
              <w:t>A</w:t>
            </w:r>
            <w:r w:rsidRPr="00746499">
              <w:rPr>
                <w:iCs/>
                <w:sz w:val="17"/>
                <w:szCs w:val="17"/>
                <w:lang w:val="en-GB"/>
              </w:rPr>
              <w:t xml:space="preserve"> strong State with transparent, corruption-free and efficient institutions, rule of law, people-oriented justice system, respect to the human rights and freedoms, and increased social cohesion that deliver to people’ needs</w:t>
            </w:r>
          </w:p>
          <w:p w14:paraId="62CBB9D6" w14:textId="1D12B675" w:rsidR="005C1151" w:rsidRPr="00746499" w:rsidRDefault="005C1151" w:rsidP="009B34A2">
            <w:pPr>
              <w:rPr>
                <w:color w:val="000000"/>
                <w:sz w:val="17"/>
                <w:szCs w:val="17"/>
              </w:rPr>
            </w:pPr>
            <w:r w:rsidRPr="00746499">
              <w:rPr>
                <w:iCs/>
                <w:sz w:val="17"/>
                <w:szCs w:val="17"/>
              </w:rPr>
              <w:t>S</w:t>
            </w:r>
            <w:r w:rsidR="00F85FA6" w:rsidRPr="00746499">
              <w:rPr>
                <w:iCs/>
                <w:sz w:val="17"/>
                <w:szCs w:val="17"/>
              </w:rPr>
              <w:t xml:space="preserve">ustainable </w:t>
            </w:r>
            <w:r w:rsidRPr="00746499">
              <w:rPr>
                <w:iCs/>
                <w:sz w:val="17"/>
                <w:szCs w:val="17"/>
              </w:rPr>
              <w:t>D</w:t>
            </w:r>
            <w:r w:rsidR="00F85FA6" w:rsidRPr="00746499">
              <w:rPr>
                <w:iCs/>
                <w:sz w:val="17"/>
                <w:szCs w:val="17"/>
              </w:rPr>
              <w:t xml:space="preserve">evelopment </w:t>
            </w:r>
            <w:r w:rsidRPr="00746499">
              <w:rPr>
                <w:iCs/>
                <w:sz w:val="17"/>
                <w:szCs w:val="17"/>
              </w:rPr>
              <w:t>G</w:t>
            </w:r>
            <w:r w:rsidR="00F85FA6" w:rsidRPr="00746499">
              <w:rPr>
                <w:iCs/>
                <w:sz w:val="17"/>
                <w:szCs w:val="17"/>
              </w:rPr>
              <w:t>oals</w:t>
            </w:r>
            <w:r w:rsidRPr="00746499">
              <w:rPr>
                <w:iCs/>
                <w:sz w:val="17"/>
                <w:szCs w:val="17"/>
              </w:rPr>
              <w:t xml:space="preserve"> 5</w:t>
            </w:r>
            <w:r w:rsidR="008E6C64" w:rsidRPr="00746499">
              <w:rPr>
                <w:iCs/>
                <w:sz w:val="17"/>
                <w:szCs w:val="17"/>
              </w:rPr>
              <w:t>,10</w:t>
            </w:r>
            <w:r w:rsidRPr="00746499">
              <w:rPr>
                <w:iCs/>
                <w:sz w:val="17"/>
                <w:szCs w:val="17"/>
              </w:rPr>
              <w:t xml:space="preserve"> and 16</w:t>
            </w:r>
          </w:p>
        </w:tc>
      </w:tr>
      <w:tr w:rsidR="005555C4" w:rsidRPr="00746499" w14:paraId="37AADAA7" w14:textId="77777777" w:rsidTr="006E3010">
        <w:tc>
          <w:tcPr>
            <w:tcW w:w="5000" w:type="pct"/>
            <w:gridSpan w:val="10"/>
            <w:shd w:val="clear" w:color="auto" w:fill="auto"/>
            <w:tcMar>
              <w:top w:w="72" w:type="dxa"/>
              <w:left w:w="144" w:type="dxa"/>
              <w:bottom w:w="72" w:type="dxa"/>
              <w:right w:w="144" w:type="dxa"/>
            </w:tcMar>
          </w:tcPr>
          <w:p w14:paraId="28C56470" w14:textId="171EF1A3" w:rsidR="005555C4" w:rsidRPr="00746499" w:rsidRDefault="005555C4" w:rsidP="00F85FA6">
            <w:pPr>
              <w:rPr>
                <w:sz w:val="17"/>
                <w:szCs w:val="17"/>
              </w:rPr>
            </w:pPr>
            <w:r w:rsidRPr="00746499">
              <w:rPr>
                <w:b/>
                <w:sz w:val="17"/>
                <w:szCs w:val="17"/>
                <w:lang w:val="en-GB"/>
              </w:rPr>
              <w:t xml:space="preserve">UNDAF Outcome 1: The people of Moldova, </w:t>
            </w:r>
            <w:r w:rsidR="007E2AB0" w:rsidRPr="00746499">
              <w:rPr>
                <w:b/>
                <w:sz w:val="17"/>
                <w:szCs w:val="17"/>
                <w:lang w:val="en-GB"/>
              </w:rPr>
              <w:t xml:space="preserve">especially </w:t>
            </w:r>
            <w:r w:rsidRPr="00746499">
              <w:rPr>
                <w:b/>
                <w:sz w:val="17"/>
                <w:szCs w:val="17"/>
                <w:lang w:val="en-GB"/>
              </w:rPr>
              <w:t>most vulnerable</w:t>
            </w:r>
            <w:r w:rsidR="00F85FA6" w:rsidRPr="00746499">
              <w:rPr>
                <w:b/>
                <w:sz w:val="17"/>
                <w:szCs w:val="17"/>
                <w:lang w:val="en-GB"/>
              </w:rPr>
              <w:t>,</w:t>
            </w:r>
            <w:r w:rsidR="00625423" w:rsidRPr="00746499" w:rsidDel="00625423">
              <w:rPr>
                <w:rStyle w:val="FootnoteReference"/>
                <w:b/>
                <w:bCs/>
                <w:sz w:val="17"/>
                <w:szCs w:val="17"/>
                <w:lang w:val="en-GB" w:eastAsia="ro-RO"/>
              </w:rPr>
              <w:t xml:space="preserve"> </w:t>
            </w:r>
            <w:r w:rsidRPr="00746499">
              <w:rPr>
                <w:b/>
                <w:bCs/>
                <w:sz w:val="17"/>
                <w:szCs w:val="17"/>
                <w:lang w:val="en-GB" w:eastAsia="ro-RO"/>
              </w:rPr>
              <w:t xml:space="preserve">  </w:t>
            </w:r>
            <w:r w:rsidRPr="00746499">
              <w:rPr>
                <w:b/>
                <w:sz w:val="17"/>
                <w:szCs w:val="17"/>
                <w:lang w:val="en-GB"/>
              </w:rPr>
              <w:t>demand and benefit from democratic, transparent and accountable governance, gender-sensitive, human rights- and evidence-based public policies, equitable services, and efficient, effective and responsive public institutions</w:t>
            </w:r>
          </w:p>
        </w:tc>
      </w:tr>
      <w:tr w:rsidR="005555C4" w:rsidRPr="00746499" w14:paraId="1678E88C" w14:textId="77777777" w:rsidTr="00294364">
        <w:tc>
          <w:tcPr>
            <w:tcW w:w="5000" w:type="pct"/>
            <w:gridSpan w:val="10"/>
            <w:tcBorders>
              <w:bottom w:val="single" w:sz="4" w:space="0" w:color="auto"/>
            </w:tcBorders>
            <w:shd w:val="clear" w:color="auto" w:fill="auto"/>
            <w:tcMar>
              <w:top w:w="72" w:type="dxa"/>
              <w:left w:w="144" w:type="dxa"/>
              <w:bottom w:w="72" w:type="dxa"/>
              <w:right w:w="144" w:type="dxa"/>
            </w:tcMar>
          </w:tcPr>
          <w:p w14:paraId="30931AD3" w14:textId="487F7244" w:rsidR="005555C4" w:rsidRPr="00746499" w:rsidRDefault="005555C4" w:rsidP="003A6ABC">
            <w:pPr>
              <w:rPr>
                <w:b/>
                <w:bCs/>
                <w:color w:val="000000"/>
                <w:sz w:val="17"/>
                <w:szCs w:val="17"/>
                <w:lang w:val="en-GB"/>
              </w:rPr>
            </w:pPr>
            <w:r w:rsidRPr="00746499">
              <w:rPr>
                <w:b/>
                <w:bCs/>
                <w:color w:val="000000"/>
                <w:sz w:val="17"/>
                <w:szCs w:val="17"/>
                <w:lang w:val="en-GB"/>
              </w:rPr>
              <w:t xml:space="preserve">RELATED </w:t>
            </w:r>
            <w:r w:rsidR="007E2AB0" w:rsidRPr="00746499">
              <w:rPr>
                <w:b/>
                <w:bCs/>
                <w:color w:val="000000"/>
                <w:sz w:val="17"/>
                <w:szCs w:val="17"/>
                <w:lang w:val="en-GB"/>
              </w:rPr>
              <w:t>S</w:t>
            </w:r>
            <w:r w:rsidR="00F85FA6" w:rsidRPr="00746499">
              <w:rPr>
                <w:b/>
                <w:bCs/>
                <w:color w:val="000000"/>
                <w:sz w:val="17"/>
                <w:szCs w:val="17"/>
                <w:lang w:val="en-GB"/>
              </w:rPr>
              <w:t xml:space="preserve">TRATEGIC </w:t>
            </w:r>
            <w:r w:rsidR="007E2AB0" w:rsidRPr="00746499">
              <w:rPr>
                <w:b/>
                <w:bCs/>
                <w:color w:val="000000"/>
                <w:sz w:val="17"/>
                <w:szCs w:val="17"/>
                <w:lang w:val="en-GB"/>
              </w:rPr>
              <w:t>P</w:t>
            </w:r>
            <w:r w:rsidR="00F85FA6" w:rsidRPr="00746499">
              <w:rPr>
                <w:b/>
                <w:bCs/>
                <w:color w:val="000000"/>
                <w:sz w:val="17"/>
                <w:szCs w:val="17"/>
                <w:lang w:val="en-GB"/>
              </w:rPr>
              <w:t xml:space="preserve">LAN </w:t>
            </w:r>
            <w:r w:rsidRPr="00746499">
              <w:rPr>
                <w:b/>
                <w:bCs/>
                <w:color w:val="000000"/>
                <w:sz w:val="17"/>
                <w:szCs w:val="17"/>
                <w:lang w:val="en-GB"/>
              </w:rPr>
              <w:t xml:space="preserve"> </w:t>
            </w:r>
            <w:r w:rsidR="007E2AB0" w:rsidRPr="00746499">
              <w:rPr>
                <w:b/>
                <w:bCs/>
                <w:color w:val="000000"/>
                <w:sz w:val="17"/>
                <w:szCs w:val="17"/>
                <w:lang w:val="en-GB"/>
              </w:rPr>
              <w:t>OUTCOME:</w:t>
            </w:r>
            <w:r w:rsidR="00F85FA6" w:rsidRPr="00746499">
              <w:rPr>
                <w:b/>
                <w:bCs/>
                <w:color w:val="000000"/>
                <w:sz w:val="17"/>
                <w:szCs w:val="17"/>
                <w:lang w:val="en-GB"/>
              </w:rPr>
              <w:t xml:space="preserve"> </w:t>
            </w:r>
            <w:r w:rsidR="003A6ABC" w:rsidRPr="00746499">
              <w:rPr>
                <w:sz w:val="17"/>
                <w:szCs w:val="17"/>
              </w:rPr>
              <w:t xml:space="preserve"> </w:t>
            </w:r>
            <w:r w:rsidR="003A6ABC" w:rsidRPr="00746499">
              <w:rPr>
                <w:sz w:val="17"/>
                <w:szCs w:val="17"/>
                <w:lang w:val="en-GB"/>
              </w:rPr>
              <w:t>Citizen expectations for voice, development, the rule of law and accountability are met by stronger systems of democratic governance</w:t>
            </w:r>
          </w:p>
        </w:tc>
      </w:tr>
      <w:tr w:rsidR="005555C4" w:rsidRPr="00746499" w14:paraId="56395C38" w14:textId="77777777" w:rsidTr="00294364">
        <w:tc>
          <w:tcPr>
            <w:tcW w:w="1306" w:type="pct"/>
            <w:gridSpan w:val="2"/>
            <w:shd w:val="clear" w:color="auto" w:fill="auto"/>
            <w:tcMar>
              <w:top w:w="72" w:type="dxa"/>
              <w:left w:w="144" w:type="dxa"/>
              <w:bottom w:w="72" w:type="dxa"/>
              <w:right w:w="144" w:type="dxa"/>
            </w:tcMar>
            <w:vAlign w:val="center"/>
          </w:tcPr>
          <w:p w14:paraId="377DF8CF" w14:textId="2E425BBF" w:rsidR="005555C4" w:rsidRPr="00746499" w:rsidRDefault="006E3010" w:rsidP="006E3010">
            <w:pPr>
              <w:jc w:val="center"/>
              <w:rPr>
                <w:color w:val="000000"/>
                <w:sz w:val="17"/>
                <w:szCs w:val="17"/>
              </w:rPr>
            </w:pPr>
            <w:r>
              <w:rPr>
                <w:b/>
                <w:bCs/>
                <w:color w:val="000000"/>
                <w:sz w:val="17"/>
                <w:szCs w:val="17"/>
                <w:lang w:val="en-GB"/>
              </w:rPr>
              <w:t>UNDAF</w:t>
            </w:r>
            <w:r w:rsidRPr="00746499">
              <w:rPr>
                <w:b/>
                <w:bCs/>
                <w:color w:val="000000"/>
                <w:sz w:val="17"/>
                <w:szCs w:val="17"/>
                <w:lang w:val="en-GB"/>
              </w:rPr>
              <w:t xml:space="preserve"> outcome indicator(s), baselines, target(s)</w:t>
            </w:r>
          </w:p>
        </w:tc>
        <w:tc>
          <w:tcPr>
            <w:tcW w:w="689" w:type="pct"/>
            <w:gridSpan w:val="2"/>
            <w:shd w:val="clear" w:color="auto" w:fill="auto"/>
            <w:vAlign w:val="center"/>
          </w:tcPr>
          <w:p w14:paraId="76BEEEA5" w14:textId="40CD608A" w:rsidR="005555C4" w:rsidRPr="00746499" w:rsidRDefault="006E3010" w:rsidP="006E3010">
            <w:pPr>
              <w:jc w:val="center"/>
              <w:rPr>
                <w:b/>
                <w:color w:val="000000"/>
                <w:sz w:val="17"/>
                <w:szCs w:val="17"/>
              </w:rPr>
            </w:pPr>
            <w:r>
              <w:rPr>
                <w:b/>
                <w:color w:val="000000"/>
                <w:sz w:val="17"/>
                <w:szCs w:val="17"/>
              </w:rPr>
              <w:t>Data source, frequency of data collection</w:t>
            </w:r>
            <w:r w:rsidRPr="00746499">
              <w:rPr>
                <w:b/>
                <w:color w:val="000000"/>
                <w:sz w:val="17"/>
                <w:szCs w:val="17"/>
              </w:rPr>
              <w:t xml:space="preserve"> and responsibilities</w:t>
            </w:r>
          </w:p>
        </w:tc>
        <w:tc>
          <w:tcPr>
            <w:tcW w:w="1534" w:type="pct"/>
            <w:gridSpan w:val="2"/>
            <w:shd w:val="clear" w:color="auto" w:fill="auto"/>
            <w:tcMar>
              <w:top w:w="72" w:type="dxa"/>
              <w:left w:w="144" w:type="dxa"/>
              <w:bottom w:w="72" w:type="dxa"/>
              <w:right w:w="144" w:type="dxa"/>
            </w:tcMar>
            <w:vAlign w:val="center"/>
          </w:tcPr>
          <w:p w14:paraId="15D61ACB" w14:textId="0E48F2A3" w:rsidR="005555C4" w:rsidRPr="00746499" w:rsidRDefault="006E3010" w:rsidP="005555C4">
            <w:pPr>
              <w:jc w:val="center"/>
              <w:rPr>
                <w:color w:val="000000"/>
                <w:sz w:val="17"/>
                <w:szCs w:val="17"/>
              </w:rPr>
            </w:pPr>
            <w:r>
              <w:rPr>
                <w:b/>
                <w:bCs/>
                <w:color w:val="000000"/>
                <w:sz w:val="17"/>
                <w:szCs w:val="17"/>
                <w:lang w:val="en-GB"/>
              </w:rPr>
              <w:t>I</w:t>
            </w:r>
            <w:r w:rsidRPr="00746499">
              <w:rPr>
                <w:b/>
                <w:bCs/>
                <w:color w:val="000000"/>
                <w:sz w:val="17"/>
                <w:szCs w:val="17"/>
                <w:lang w:val="en-GB"/>
              </w:rPr>
              <w:t xml:space="preserve">ndicative country programme outputs </w:t>
            </w:r>
          </w:p>
        </w:tc>
        <w:tc>
          <w:tcPr>
            <w:tcW w:w="774" w:type="pct"/>
            <w:gridSpan w:val="2"/>
            <w:shd w:val="clear" w:color="auto" w:fill="auto"/>
            <w:vAlign w:val="center"/>
          </w:tcPr>
          <w:p w14:paraId="51CE921F" w14:textId="1B22F0AA" w:rsidR="005555C4" w:rsidRPr="00746499" w:rsidRDefault="006E3010" w:rsidP="005555C4">
            <w:pPr>
              <w:jc w:val="center"/>
              <w:rPr>
                <w:b/>
                <w:bCs/>
                <w:color w:val="000000"/>
                <w:sz w:val="17"/>
                <w:szCs w:val="17"/>
                <w:lang w:val="en-GB"/>
              </w:rPr>
            </w:pPr>
            <w:r>
              <w:rPr>
                <w:b/>
                <w:bCs/>
                <w:color w:val="000000"/>
                <w:sz w:val="17"/>
                <w:szCs w:val="17"/>
                <w:lang w:val="en-GB"/>
              </w:rPr>
              <w:t>M</w:t>
            </w:r>
            <w:r w:rsidRPr="00746499">
              <w:rPr>
                <w:b/>
                <w:bCs/>
                <w:color w:val="000000"/>
                <w:sz w:val="17"/>
                <w:szCs w:val="17"/>
                <w:lang w:val="en-GB"/>
              </w:rPr>
              <w:t>ajor partners / partnerships</w:t>
            </w:r>
          </w:p>
          <w:p w14:paraId="7CC887D3" w14:textId="3E57892B" w:rsidR="005555C4" w:rsidRPr="00746499" w:rsidRDefault="006E3010" w:rsidP="005555C4">
            <w:pPr>
              <w:jc w:val="center"/>
              <w:rPr>
                <w:b/>
                <w:bCs/>
                <w:color w:val="000000"/>
                <w:sz w:val="17"/>
                <w:szCs w:val="17"/>
                <w:lang w:val="en-GB"/>
              </w:rPr>
            </w:pPr>
            <w:r w:rsidRPr="00746499">
              <w:rPr>
                <w:b/>
                <w:bCs/>
                <w:color w:val="000000"/>
                <w:sz w:val="17"/>
                <w:szCs w:val="17"/>
                <w:lang w:val="en-GB"/>
              </w:rPr>
              <w:t>frameworks</w:t>
            </w:r>
          </w:p>
        </w:tc>
        <w:tc>
          <w:tcPr>
            <w:tcW w:w="697" w:type="pct"/>
            <w:gridSpan w:val="2"/>
            <w:shd w:val="clear" w:color="auto" w:fill="auto"/>
            <w:tcMar>
              <w:top w:w="15" w:type="dxa"/>
              <w:left w:w="108" w:type="dxa"/>
              <w:bottom w:w="0" w:type="dxa"/>
              <w:right w:w="108" w:type="dxa"/>
            </w:tcMar>
            <w:vAlign w:val="center"/>
          </w:tcPr>
          <w:p w14:paraId="340F9E51" w14:textId="010B4F65" w:rsidR="005555C4" w:rsidRPr="00746499" w:rsidRDefault="006E3010" w:rsidP="006E3010">
            <w:pPr>
              <w:jc w:val="center"/>
              <w:rPr>
                <w:i/>
                <w:color w:val="0000FF"/>
                <w:sz w:val="17"/>
                <w:szCs w:val="17"/>
              </w:rPr>
            </w:pPr>
            <w:r>
              <w:rPr>
                <w:b/>
                <w:bCs/>
                <w:color w:val="000000"/>
                <w:sz w:val="17"/>
                <w:szCs w:val="17"/>
                <w:lang w:val="en-GB"/>
              </w:rPr>
              <w:t>I</w:t>
            </w:r>
            <w:r w:rsidRPr="00746499">
              <w:rPr>
                <w:b/>
                <w:bCs/>
                <w:color w:val="000000"/>
                <w:sz w:val="17"/>
                <w:szCs w:val="17"/>
                <w:lang w:val="en-GB"/>
              </w:rPr>
              <w:t>ndicative resources by outcome (</w:t>
            </w:r>
            <w:r>
              <w:rPr>
                <w:b/>
                <w:bCs/>
                <w:color w:val="000000"/>
                <w:sz w:val="17"/>
                <w:szCs w:val="17"/>
                <w:lang w:val="en-GB"/>
              </w:rPr>
              <w:t xml:space="preserve">in </w:t>
            </w:r>
            <w:r w:rsidRPr="00746499">
              <w:rPr>
                <w:b/>
                <w:bCs/>
                <w:color w:val="000000"/>
                <w:sz w:val="17"/>
                <w:szCs w:val="17"/>
                <w:lang w:val="en-GB"/>
              </w:rPr>
              <w:t>$)</w:t>
            </w:r>
          </w:p>
        </w:tc>
      </w:tr>
      <w:tr w:rsidR="005555C4" w:rsidRPr="00746499" w14:paraId="3A46F60A" w14:textId="77777777" w:rsidTr="006C3F11">
        <w:tc>
          <w:tcPr>
            <w:tcW w:w="1306" w:type="pct"/>
            <w:gridSpan w:val="2"/>
            <w:vMerge w:val="restart"/>
            <w:tcMar>
              <w:top w:w="72" w:type="dxa"/>
              <w:left w:w="144" w:type="dxa"/>
              <w:bottom w:w="72" w:type="dxa"/>
              <w:right w:w="144" w:type="dxa"/>
            </w:tcMar>
          </w:tcPr>
          <w:p w14:paraId="7193C587" w14:textId="77777777" w:rsidR="005555C4" w:rsidRPr="00746499" w:rsidRDefault="005555C4" w:rsidP="005555C4">
            <w:pPr>
              <w:rPr>
                <w:sz w:val="17"/>
                <w:szCs w:val="17"/>
                <w:lang w:val="en-GB"/>
              </w:rPr>
            </w:pPr>
            <w:r w:rsidRPr="00746499">
              <w:rPr>
                <w:b/>
                <w:sz w:val="17"/>
                <w:szCs w:val="17"/>
                <w:lang w:val="en-GB"/>
              </w:rPr>
              <w:t>Indicator</w:t>
            </w:r>
            <w:r w:rsidRPr="00746499">
              <w:rPr>
                <w:sz w:val="17"/>
                <w:szCs w:val="17"/>
                <w:lang w:val="en-GB"/>
              </w:rPr>
              <w:t xml:space="preserve">: % of people who trust in governance institutions (Parliament, Government, Justice) by sex and urban/rural status; </w:t>
            </w:r>
          </w:p>
          <w:p w14:paraId="261D03D2" w14:textId="77777777" w:rsidR="00972E3D" w:rsidRPr="00746499" w:rsidRDefault="00972E3D" w:rsidP="005555C4">
            <w:pPr>
              <w:rPr>
                <w:sz w:val="17"/>
                <w:szCs w:val="17"/>
                <w:lang w:val="en-GB"/>
              </w:rPr>
            </w:pPr>
          </w:p>
          <w:p w14:paraId="4D0DCF8B" w14:textId="77777777" w:rsidR="005555C4" w:rsidRPr="00746499" w:rsidRDefault="005555C4" w:rsidP="005555C4">
            <w:pPr>
              <w:rPr>
                <w:sz w:val="17"/>
                <w:szCs w:val="17"/>
                <w:lang w:val="en-GB"/>
              </w:rPr>
            </w:pPr>
            <w:r w:rsidRPr="00746499">
              <w:rPr>
                <w:b/>
                <w:sz w:val="17"/>
                <w:szCs w:val="17"/>
                <w:lang w:val="en-GB"/>
              </w:rPr>
              <w:t>Baseline (April 2016)</w:t>
            </w:r>
            <w:r w:rsidRPr="00746499">
              <w:rPr>
                <w:sz w:val="17"/>
                <w:szCs w:val="17"/>
                <w:lang w:val="en-GB"/>
              </w:rPr>
              <w:t xml:space="preserve">: </w:t>
            </w:r>
          </w:p>
          <w:p w14:paraId="25DFD8F2" w14:textId="77777777" w:rsidR="005555C4" w:rsidRPr="00746499" w:rsidRDefault="005555C4" w:rsidP="005555C4">
            <w:pPr>
              <w:rPr>
                <w:sz w:val="17"/>
                <w:szCs w:val="17"/>
                <w:lang w:val="en-GB"/>
              </w:rPr>
            </w:pPr>
            <w:r w:rsidRPr="00746499">
              <w:rPr>
                <w:sz w:val="17"/>
                <w:szCs w:val="17"/>
                <w:lang w:val="en-GB"/>
              </w:rPr>
              <w:t xml:space="preserve">Parliament: Total: 5.9%; Men/Women: 6.9%/5.2%; Urban/Rural: 4.8%/7.0%; </w:t>
            </w:r>
          </w:p>
          <w:p w14:paraId="17928067" w14:textId="77777777" w:rsidR="005555C4" w:rsidRPr="00746499" w:rsidRDefault="005555C4" w:rsidP="005555C4">
            <w:pPr>
              <w:rPr>
                <w:sz w:val="17"/>
                <w:szCs w:val="17"/>
                <w:lang w:val="en-GB"/>
              </w:rPr>
            </w:pPr>
          </w:p>
          <w:p w14:paraId="6A54A3A4" w14:textId="2E89BB1F" w:rsidR="005555C4" w:rsidRPr="00746499" w:rsidRDefault="005555C4" w:rsidP="005555C4">
            <w:pPr>
              <w:rPr>
                <w:sz w:val="17"/>
                <w:szCs w:val="17"/>
                <w:lang w:val="en-GB"/>
              </w:rPr>
            </w:pPr>
            <w:r w:rsidRPr="00746499">
              <w:rPr>
                <w:sz w:val="17"/>
                <w:szCs w:val="17"/>
                <w:lang w:val="en-GB"/>
              </w:rPr>
              <w:t>Government: Total: 9.2%; Men/Women: 10.3%/8.3%; Urban/Rural: 7.8%/10.3</w:t>
            </w:r>
            <w:r w:rsidR="003A6ABC" w:rsidRPr="00746499">
              <w:rPr>
                <w:sz w:val="17"/>
                <w:szCs w:val="17"/>
                <w:lang w:val="en-GB"/>
              </w:rPr>
              <w:t>%</w:t>
            </w:r>
            <w:r w:rsidRPr="00746499">
              <w:rPr>
                <w:sz w:val="17"/>
                <w:szCs w:val="17"/>
                <w:lang w:val="en-GB"/>
              </w:rPr>
              <w:t xml:space="preserve"> </w:t>
            </w:r>
          </w:p>
          <w:p w14:paraId="4C16BB92" w14:textId="77777777" w:rsidR="005555C4" w:rsidRPr="00746499" w:rsidRDefault="005555C4" w:rsidP="005555C4">
            <w:pPr>
              <w:rPr>
                <w:sz w:val="17"/>
                <w:szCs w:val="17"/>
                <w:lang w:val="en-GB"/>
              </w:rPr>
            </w:pPr>
          </w:p>
          <w:p w14:paraId="1F26A695" w14:textId="5C4F76F0" w:rsidR="005555C4" w:rsidRPr="00746499" w:rsidRDefault="005555C4" w:rsidP="005555C4">
            <w:pPr>
              <w:rPr>
                <w:sz w:val="17"/>
                <w:szCs w:val="17"/>
                <w:lang w:val="en-GB"/>
              </w:rPr>
            </w:pPr>
            <w:r w:rsidRPr="00746499">
              <w:rPr>
                <w:sz w:val="17"/>
                <w:szCs w:val="17"/>
                <w:lang w:val="en-GB"/>
              </w:rPr>
              <w:t>Justice: Total: 7.8%; Men/Women: 9.1%/6.7%; Urban/Rural</w:t>
            </w:r>
            <w:r w:rsidR="003A6ABC" w:rsidRPr="00746499">
              <w:rPr>
                <w:sz w:val="17"/>
                <w:szCs w:val="17"/>
                <w:lang w:val="en-GB"/>
              </w:rPr>
              <w:t>:</w:t>
            </w:r>
            <w:r w:rsidRPr="00746499">
              <w:rPr>
                <w:sz w:val="17"/>
                <w:szCs w:val="17"/>
                <w:lang w:val="en-GB"/>
              </w:rPr>
              <w:t xml:space="preserve"> 7.5%/8.0%; </w:t>
            </w:r>
          </w:p>
          <w:p w14:paraId="28D1741A" w14:textId="77777777" w:rsidR="005555C4" w:rsidRPr="00746499" w:rsidRDefault="005555C4" w:rsidP="005555C4">
            <w:pPr>
              <w:rPr>
                <w:b/>
                <w:sz w:val="17"/>
                <w:szCs w:val="17"/>
                <w:lang w:val="en-GB"/>
              </w:rPr>
            </w:pPr>
          </w:p>
          <w:p w14:paraId="065FD859" w14:textId="77777777" w:rsidR="005555C4" w:rsidRPr="00746499" w:rsidRDefault="005555C4" w:rsidP="005555C4">
            <w:pPr>
              <w:rPr>
                <w:sz w:val="17"/>
                <w:szCs w:val="17"/>
                <w:lang w:val="en-GB"/>
              </w:rPr>
            </w:pPr>
            <w:r w:rsidRPr="00746499">
              <w:rPr>
                <w:b/>
                <w:sz w:val="17"/>
                <w:szCs w:val="17"/>
                <w:lang w:val="en-GB"/>
              </w:rPr>
              <w:t>Target (2022)</w:t>
            </w:r>
            <w:r w:rsidRPr="00746499">
              <w:rPr>
                <w:sz w:val="17"/>
                <w:szCs w:val="17"/>
                <w:lang w:val="en-GB"/>
              </w:rPr>
              <w:t xml:space="preserve">: </w:t>
            </w:r>
          </w:p>
          <w:p w14:paraId="25FB8C13" w14:textId="77777777" w:rsidR="005555C4" w:rsidRPr="00746499" w:rsidRDefault="005555C4" w:rsidP="005555C4">
            <w:pPr>
              <w:rPr>
                <w:sz w:val="17"/>
                <w:szCs w:val="17"/>
                <w:lang w:val="en-GB"/>
              </w:rPr>
            </w:pPr>
            <w:r w:rsidRPr="00746499">
              <w:rPr>
                <w:sz w:val="17"/>
                <w:szCs w:val="17"/>
                <w:lang w:val="en-GB"/>
              </w:rPr>
              <w:t xml:space="preserve">Parliament: Total: 20%; Men/Women: 20%/20%; Urban/Rural: 20%/20%; </w:t>
            </w:r>
          </w:p>
          <w:p w14:paraId="3E398227" w14:textId="77777777" w:rsidR="005555C4" w:rsidRPr="00746499" w:rsidRDefault="005555C4" w:rsidP="005555C4">
            <w:pPr>
              <w:rPr>
                <w:sz w:val="17"/>
                <w:szCs w:val="17"/>
                <w:lang w:val="en-GB"/>
              </w:rPr>
            </w:pPr>
          </w:p>
          <w:p w14:paraId="3F42F66C" w14:textId="77777777" w:rsidR="005555C4" w:rsidRPr="00746499" w:rsidRDefault="005555C4" w:rsidP="005555C4">
            <w:pPr>
              <w:rPr>
                <w:sz w:val="17"/>
                <w:szCs w:val="17"/>
                <w:lang w:val="en-GB"/>
              </w:rPr>
            </w:pPr>
            <w:r w:rsidRPr="00746499">
              <w:rPr>
                <w:sz w:val="17"/>
                <w:szCs w:val="17"/>
                <w:lang w:val="en-GB"/>
              </w:rPr>
              <w:t xml:space="preserve">Government: Total: 25%; Men/Women: 25%/25%; Urban/Rural: 25%/25%; </w:t>
            </w:r>
          </w:p>
          <w:p w14:paraId="06F4686D" w14:textId="77777777" w:rsidR="005555C4" w:rsidRPr="00746499" w:rsidRDefault="005555C4" w:rsidP="005555C4">
            <w:pPr>
              <w:rPr>
                <w:sz w:val="17"/>
                <w:szCs w:val="17"/>
                <w:lang w:val="en-GB"/>
              </w:rPr>
            </w:pPr>
          </w:p>
          <w:p w14:paraId="6956D33E" w14:textId="77777777" w:rsidR="005555C4" w:rsidRPr="00746499" w:rsidRDefault="005555C4" w:rsidP="005555C4">
            <w:pPr>
              <w:rPr>
                <w:sz w:val="17"/>
                <w:szCs w:val="17"/>
                <w:lang w:val="en-GB"/>
              </w:rPr>
            </w:pPr>
            <w:r w:rsidRPr="00746499">
              <w:rPr>
                <w:sz w:val="17"/>
                <w:szCs w:val="17"/>
                <w:lang w:val="en-GB"/>
              </w:rPr>
              <w:t xml:space="preserve">Justice: Total: 25%; Men/Women: 25%/25%; Urban/Rural: 25%/25%; </w:t>
            </w:r>
          </w:p>
          <w:p w14:paraId="42F2F3D3" w14:textId="77777777" w:rsidR="005555C4" w:rsidRPr="00746499" w:rsidRDefault="005555C4" w:rsidP="005555C4">
            <w:pPr>
              <w:rPr>
                <w:sz w:val="17"/>
                <w:szCs w:val="17"/>
                <w:lang w:val="en-GB"/>
              </w:rPr>
            </w:pPr>
          </w:p>
          <w:p w14:paraId="7D80BA9E" w14:textId="77777777" w:rsidR="005555C4" w:rsidRPr="00746499" w:rsidRDefault="005555C4" w:rsidP="005555C4">
            <w:pPr>
              <w:autoSpaceDN w:val="0"/>
              <w:contextualSpacing/>
              <w:rPr>
                <w:rFonts w:eastAsia="Calibri"/>
                <w:sz w:val="17"/>
                <w:szCs w:val="17"/>
                <w:lang w:val="en-GB"/>
              </w:rPr>
            </w:pPr>
            <w:r w:rsidRPr="00746499">
              <w:rPr>
                <w:rFonts w:eastAsia="Calibri"/>
                <w:b/>
                <w:sz w:val="17"/>
                <w:szCs w:val="17"/>
                <w:lang w:val="en-GB"/>
              </w:rPr>
              <w:t>Indicator</w:t>
            </w:r>
            <w:r w:rsidRPr="00746499">
              <w:rPr>
                <w:rFonts w:eastAsia="Calibri"/>
                <w:sz w:val="17"/>
                <w:szCs w:val="17"/>
                <w:lang w:val="en-GB"/>
              </w:rPr>
              <w:t>: Households and businesses facing corruption in the last 12 months, % of the interviewed</w:t>
            </w:r>
          </w:p>
          <w:p w14:paraId="4E843EDA" w14:textId="6CC3E982" w:rsidR="005555C4" w:rsidRPr="00746499" w:rsidRDefault="005555C4" w:rsidP="005555C4">
            <w:pPr>
              <w:rPr>
                <w:rFonts w:eastAsia="Calibri"/>
                <w:sz w:val="17"/>
                <w:szCs w:val="17"/>
                <w:lang w:val="en-GB"/>
              </w:rPr>
            </w:pPr>
            <w:r w:rsidRPr="00746499">
              <w:rPr>
                <w:rFonts w:eastAsia="Calibri"/>
                <w:b/>
                <w:sz w:val="17"/>
                <w:szCs w:val="17"/>
                <w:lang w:val="en-GB"/>
              </w:rPr>
              <w:t xml:space="preserve">Baseline </w:t>
            </w:r>
            <w:r w:rsidRPr="00746499">
              <w:rPr>
                <w:rFonts w:eastAsia="Calibri"/>
                <w:sz w:val="17"/>
                <w:szCs w:val="17"/>
                <w:lang w:val="en-GB"/>
              </w:rPr>
              <w:t>(2015): Households  24%; Business 24%</w:t>
            </w:r>
          </w:p>
          <w:p w14:paraId="426C09FC" w14:textId="77777777" w:rsidR="005555C4" w:rsidRPr="00746499" w:rsidRDefault="005555C4" w:rsidP="005555C4">
            <w:pPr>
              <w:rPr>
                <w:rFonts w:eastAsia="Calibri"/>
                <w:sz w:val="17"/>
                <w:szCs w:val="17"/>
                <w:lang w:val="en-GB"/>
              </w:rPr>
            </w:pPr>
            <w:r w:rsidRPr="00746499">
              <w:rPr>
                <w:rFonts w:eastAsia="Calibri"/>
                <w:b/>
                <w:sz w:val="17"/>
                <w:szCs w:val="17"/>
                <w:lang w:val="en-GB"/>
              </w:rPr>
              <w:t xml:space="preserve">Target </w:t>
            </w:r>
            <w:r w:rsidRPr="00746499">
              <w:rPr>
                <w:rFonts w:eastAsia="Calibri"/>
                <w:sz w:val="17"/>
                <w:szCs w:val="17"/>
                <w:lang w:val="en-GB"/>
              </w:rPr>
              <w:t xml:space="preserve">(2022): Households 12%; </w:t>
            </w:r>
          </w:p>
          <w:p w14:paraId="45C7EBC0" w14:textId="32E220E1" w:rsidR="005555C4" w:rsidRPr="00746499" w:rsidRDefault="005555C4" w:rsidP="005555C4">
            <w:pPr>
              <w:rPr>
                <w:rFonts w:eastAsia="Calibri"/>
                <w:sz w:val="17"/>
                <w:szCs w:val="17"/>
                <w:lang w:val="en-GB"/>
              </w:rPr>
            </w:pPr>
            <w:r w:rsidRPr="00746499">
              <w:rPr>
                <w:rFonts w:eastAsia="Calibri"/>
                <w:sz w:val="17"/>
                <w:szCs w:val="17"/>
                <w:lang w:val="en-GB"/>
              </w:rPr>
              <w:lastRenderedPageBreak/>
              <w:t>Business 14%</w:t>
            </w:r>
          </w:p>
          <w:p w14:paraId="21AC1179" w14:textId="77777777" w:rsidR="005555C4" w:rsidRPr="00746499" w:rsidRDefault="005555C4" w:rsidP="005555C4">
            <w:pPr>
              <w:rPr>
                <w:rFonts w:eastAsia="Calibri"/>
                <w:sz w:val="17"/>
                <w:szCs w:val="17"/>
                <w:lang w:val="en-GB"/>
              </w:rPr>
            </w:pPr>
          </w:p>
          <w:p w14:paraId="612717EF" w14:textId="01DCD681" w:rsidR="005555C4" w:rsidRPr="00746499" w:rsidRDefault="005555C4" w:rsidP="005555C4">
            <w:pPr>
              <w:rPr>
                <w:rFonts w:eastAsia="Calibri"/>
                <w:sz w:val="17"/>
                <w:szCs w:val="17"/>
                <w:lang w:val="en-GB"/>
              </w:rPr>
            </w:pPr>
            <w:r w:rsidRPr="00746499">
              <w:rPr>
                <w:rFonts w:eastAsia="Calibri"/>
                <w:b/>
                <w:sz w:val="17"/>
                <w:szCs w:val="17"/>
                <w:lang w:val="en-GB"/>
              </w:rPr>
              <w:t>Indicator:</w:t>
            </w:r>
            <w:r w:rsidRPr="00746499">
              <w:rPr>
                <w:rFonts w:eastAsia="Calibri"/>
                <w:sz w:val="17"/>
                <w:szCs w:val="17"/>
                <w:lang w:val="en-GB"/>
              </w:rPr>
              <w:t xml:space="preserve"> Proportion of women and men elected/appointed in the Parliament, Government cabinet and </w:t>
            </w:r>
            <w:r w:rsidR="009922A0" w:rsidRPr="00746499">
              <w:rPr>
                <w:rFonts w:eastAsia="Calibri"/>
                <w:sz w:val="17"/>
                <w:szCs w:val="17"/>
                <w:lang w:val="en-GB"/>
              </w:rPr>
              <w:t>local public authorities (</w:t>
            </w:r>
            <w:r w:rsidRPr="00746499">
              <w:rPr>
                <w:rFonts w:eastAsia="Calibri"/>
                <w:sz w:val="17"/>
                <w:szCs w:val="17"/>
                <w:lang w:val="en-GB"/>
              </w:rPr>
              <w:t>LPAs</w:t>
            </w:r>
            <w:r w:rsidR="009922A0" w:rsidRPr="00746499">
              <w:rPr>
                <w:rFonts w:eastAsia="Calibri"/>
                <w:sz w:val="17"/>
                <w:szCs w:val="17"/>
                <w:lang w:val="en-GB"/>
              </w:rPr>
              <w:t>)</w:t>
            </w:r>
            <w:r w:rsidRPr="00746499">
              <w:rPr>
                <w:rFonts w:eastAsia="Calibri"/>
                <w:sz w:val="17"/>
                <w:szCs w:val="17"/>
                <w:lang w:val="en-GB"/>
              </w:rPr>
              <w:t xml:space="preserve">  </w:t>
            </w:r>
          </w:p>
          <w:p w14:paraId="33CE28E1" w14:textId="77777777" w:rsidR="005555C4" w:rsidRPr="00746499" w:rsidRDefault="005555C4" w:rsidP="005555C4">
            <w:pPr>
              <w:rPr>
                <w:rFonts w:eastAsia="Calibri"/>
                <w:b/>
                <w:sz w:val="17"/>
                <w:szCs w:val="17"/>
                <w:lang w:val="en-GB"/>
              </w:rPr>
            </w:pPr>
            <w:r w:rsidRPr="00746499">
              <w:rPr>
                <w:rFonts w:eastAsia="Calibri"/>
                <w:b/>
                <w:sz w:val="17"/>
                <w:szCs w:val="17"/>
                <w:lang w:val="en-GB"/>
              </w:rPr>
              <w:t xml:space="preserve">Baseline: </w:t>
            </w:r>
          </w:p>
          <w:p w14:paraId="07031FA6" w14:textId="77777777" w:rsidR="005555C4" w:rsidRPr="00746499" w:rsidRDefault="005555C4" w:rsidP="005555C4">
            <w:pPr>
              <w:ind w:left="124"/>
              <w:rPr>
                <w:rFonts w:eastAsia="Calibri"/>
                <w:sz w:val="17"/>
                <w:szCs w:val="17"/>
                <w:lang w:val="en-GB"/>
              </w:rPr>
            </w:pPr>
            <w:r w:rsidRPr="00746499">
              <w:rPr>
                <w:rFonts w:eastAsia="Calibri"/>
                <w:b/>
                <w:i/>
                <w:sz w:val="17"/>
                <w:szCs w:val="17"/>
                <w:lang w:val="en-GB"/>
              </w:rPr>
              <w:t>Members of Parliament</w:t>
            </w:r>
            <w:r w:rsidRPr="00746499">
              <w:rPr>
                <w:rFonts w:eastAsia="Calibri"/>
                <w:sz w:val="17"/>
                <w:szCs w:val="17"/>
                <w:lang w:val="en-GB"/>
              </w:rPr>
              <w:t xml:space="preserve"> (2016)</w:t>
            </w:r>
          </w:p>
          <w:p w14:paraId="1DE1E9F7" w14:textId="77777777" w:rsidR="005555C4" w:rsidRPr="00746499" w:rsidRDefault="005555C4" w:rsidP="005555C4">
            <w:pPr>
              <w:ind w:left="124"/>
              <w:rPr>
                <w:rFonts w:eastAsia="Calibri"/>
                <w:sz w:val="17"/>
                <w:szCs w:val="17"/>
                <w:lang w:val="en-GB"/>
              </w:rPr>
            </w:pPr>
            <w:r w:rsidRPr="00746499">
              <w:rPr>
                <w:rFonts w:eastAsia="Calibri"/>
                <w:sz w:val="17"/>
                <w:szCs w:val="17"/>
                <w:lang w:val="en-GB"/>
              </w:rPr>
              <w:t xml:space="preserve">Women/Men: 21.8%/77.2%; </w:t>
            </w:r>
          </w:p>
          <w:p w14:paraId="7ED96738" w14:textId="77777777" w:rsidR="005555C4" w:rsidRPr="00746499" w:rsidRDefault="005555C4" w:rsidP="005555C4">
            <w:pPr>
              <w:ind w:left="124"/>
              <w:rPr>
                <w:rFonts w:eastAsia="Calibri"/>
                <w:sz w:val="17"/>
                <w:szCs w:val="17"/>
                <w:lang w:val="en-GB"/>
              </w:rPr>
            </w:pPr>
            <w:r w:rsidRPr="00746499">
              <w:rPr>
                <w:rFonts w:eastAsia="Calibri"/>
                <w:b/>
                <w:i/>
                <w:sz w:val="17"/>
                <w:szCs w:val="17"/>
                <w:lang w:val="en-GB"/>
              </w:rPr>
              <w:t>Government Cabinet</w:t>
            </w:r>
            <w:r w:rsidRPr="00746499">
              <w:rPr>
                <w:rFonts w:eastAsia="Calibri"/>
                <w:sz w:val="17"/>
                <w:szCs w:val="17"/>
                <w:lang w:val="en-GB"/>
              </w:rPr>
              <w:t xml:space="preserve"> (2016)</w:t>
            </w:r>
          </w:p>
          <w:p w14:paraId="7559BBE9" w14:textId="77777777" w:rsidR="005555C4" w:rsidRPr="00746499" w:rsidRDefault="005555C4" w:rsidP="005555C4">
            <w:pPr>
              <w:ind w:left="124"/>
              <w:rPr>
                <w:rFonts w:eastAsia="Calibri"/>
                <w:sz w:val="17"/>
                <w:szCs w:val="17"/>
                <w:lang w:val="en-GB"/>
              </w:rPr>
            </w:pPr>
            <w:r w:rsidRPr="00746499">
              <w:rPr>
                <w:rFonts w:eastAsia="Calibri"/>
                <w:sz w:val="17"/>
                <w:szCs w:val="17"/>
                <w:lang w:val="en-GB"/>
              </w:rPr>
              <w:t xml:space="preserve">Women/Men: 21%/79%; </w:t>
            </w:r>
          </w:p>
          <w:p w14:paraId="0E8AE17E" w14:textId="3E1AECA9" w:rsidR="005555C4" w:rsidRPr="00746499" w:rsidRDefault="005555C4" w:rsidP="005555C4">
            <w:pPr>
              <w:ind w:left="124"/>
              <w:rPr>
                <w:rFonts w:eastAsia="Calibri"/>
                <w:sz w:val="17"/>
                <w:szCs w:val="17"/>
                <w:lang w:val="en-GB"/>
              </w:rPr>
            </w:pPr>
            <w:r w:rsidRPr="00746499">
              <w:rPr>
                <w:rFonts w:eastAsia="Calibri"/>
                <w:i/>
                <w:sz w:val="17"/>
                <w:szCs w:val="17"/>
                <w:lang w:val="en-GB"/>
              </w:rPr>
              <w:t xml:space="preserve">LPA </w:t>
            </w:r>
            <w:r w:rsidR="00D92BFA" w:rsidRPr="00746499">
              <w:rPr>
                <w:rFonts w:eastAsia="Calibri"/>
                <w:i/>
                <w:sz w:val="17"/>
                <w:szCs w:val="17"/>
                <w:lang w:val="en-GB"/>
              </w:rPr>
              <w:t>mayors</w:t>
            </w:r>
            <w:r w:rsidR="00D92BFA" w:rsidRPr="00746499">
              <w:rPr>
                <w:rFonts w:eastAsia="Calibri"/>
                <w:sz w:val="17"/>
                <w:szCs w:val="17"/>
                <w:lang w:val="en-GB"/>
              </w:rPr>
              <w:t xml:space="preserve"> </w:t>
            </w:r>
            <w:r w:rsidRPr="00746499">
              <w:rPr>
                <w:rFonts w:eastAsia="Calibri"/>
                <w:sz w:val="17"/>
                <w:szCs w:val="17"/>
                <w:lang w:val="en-GB"/>
              </w:rPr>
              <w:t>(2015)</w:t>
            </w:r>
          </w:p>
          <w:p w14:paraId="00F95E64" w14:textId="77777777" w:rsidR="005555C4" w:rsidRPr="00746499" w:rsidRDefault="005555C4" w:rsidP="005555C4">
            <w:pPr>
              <w:ind w:left="124"/>
              <w:rPr>
                <w:rFonts w:eastAsia="Calibri"/>
                <w:sz w:val="17"/>
                <w:szCs w:val="17"/>
                <w:lang w:val="en-CA"/>
              </w:rPr>
            </w:pPr>
            <w:r w:rsidRPr="00746499">
              <w:rPr>
                <w:rFonts w:eastAsia="Calibri"/>
                <w:sz w:val="17"/>
                <w:szCs w:val="17"/>
                <w:lang w:val="en-GB"/>
              </w:rPr>
              <w:t xml:space="preserve">Women/Men: 20.6%/79.4; </w:t>
            </w:r>
          </w:p>
          <w:p w14:paraId="79A6DDF8" w14:textId="2BB12CCC" w:rsidR="005555C4" w:rsidRPr="00746499" w:rsidRDefault="005555C4" w:rsidP="005555C4">
            <w:pPr>
              <w:ind w:left="124"/>
              <w:rPr>
                <w:rFonts w:eastAsia="Calibri"/>
                <w:sz w:val="17"/>
                <w:szCs w:val="17"/>
                <w:lang w:val="en-GB"/>
              </w:rPr>
            </w:pPr>
            <w:r w:rsidRPr="00746499">
              <w:rPr>
                <w:rFonts w:eastAsia="Calibri"/>
                <w:i/>
                <w:sz w:val="17"/>
                <w:szCs w:val="17"/>
                <w:lang w:val="en-GB"/>
              </w:rPr>
              <w:t xml:space="preserve">LPA local councillors </w:t>
            </w:r>
            <w:r w:rsidRPr="00746499">
              <w:rPr>
                <w:rFonts w:eastAsia="Calibri"/>
                <w:sz w:val="17"/>
                <w:szCs w:val="17"/>
                <w:lang w:val="en-GB"/>
              </w:rPr>
              <w:t>(2015)</w:t>
            </w:r>
          </w:p>
          <w:p w14:paraId="119E636A" w14:textId="77777777" w:rsidR="005555C4" w:rsidRPr="00746499" w:rsidRDefault="005555C4" w:rsidP="005555C4">
            <w:pPr>
              <w:ind w:left="124"/>
              <w:rPr>
                <w:rFonts w:eastAsia="Calibri"/>
                <w:sz w:val="17"/>
                <w:szCs w:val="17"/>
                <w:lang w:val="en-GB"/>
              </w:rPr>
            </w:pPr>
            <w:r w:rsidRPr="00746499">
              <w:rPr>
                <w:rFonts w:eastAsia="Calibri"/>
                <w:sz w:val="17"/>
                <w:szCs w:val="17"/>
                <w:lang w:val="en-GB"/>
              </w:rPr>
              <w:t xml:space="preserve">Women/Men: 30%/70%; </w:t>
            </w:r>
          </w:p>
          <w:p w14:paraId="0458A351" w14:textId="77777777" w:rsidR="005555C4" w:rsidRPr="00746499" w:rsidRDefault="005555C4" w:rsidP="005555C4">
            <w:pPr>
              <w:ind w:left="124"/>
              <w:rPr>
                <w:rFonts w:eastAsia="Calibri"/>
                <w:sz w:val="17"/>
                <w:szCs w:val="17"/>
                <w:lang w:val="en-GB"/>
              </w:rPr>
            </w:pPr>
            <w:r w:rsidRPr="00746499">
              <w:rPr>
                <w:rFonts w:eastAsia="Calibri"/>
                <w:i/>
                <w:sz w:val="17"/>
                <w:szCs w:val="17"/>
                <w:lang w:val="en-GB"/>
              </w:rPr>
              <w:t>LPA district councillors</w:t>
            </w:r>
            <w:r w:rsidRPr="00746499">
              <w:rPr>
                <w:rFonts w:eastAsia="Calibri"/>
                <w:sz w:val="17"/>
                <w:szCs w:val="17"/>
                <w:lang w:val="en-GB"/>
              </w:rPr>
              <w:t xml:space="preserve"> (2015)</w:t>
            </w:r>
          </w:p>
          <w:p w14:paraId="577E0AAE" w14:textId="77777777" w:rsidR="005555C4" w:rsidRPr="00746499" w:rsidRDefault="005555C4" w:rsidP="005555C4">
            <w:pPr>
              <w:ind w:left="124"/>
              <w:rPr>
                <w:rFonts w:eastAsia="Calibri"/>
                <w:color w:val="0000FF"/>
                <w:sz w:val="17"/>
                <w:szCs w:val="17"/>
                <w:u w:val="single"/>
                <w:lang w:val="en-GB"/>
              </w:rPr>
            </w:pPr>
            <w:r w:rsidRPr="00746499">
              <w:rPr>
                <w:rFonts w:eastAsia="Calibri"/>
                <w:sz w:val="17"/>
                <w:szCs w:val="17"/>
                <w:lang w:val="en-GB"/>
              </w:rPr>
              <w:t xml:space="preserve">Women/Men: 18.5%/81.5%; </w:t>
            </w:r>
          </w:p>
          <w:p w14:paraId="196C8E27" w14:textId="77777777" w:rsidR="005555C4" w:rsidRPr="00746499" w:rsidRDefault="005555C4" w:rsidP="005555C4">
            <w:pPr>
              <w:rPr>
                <w:rFonts w:eastAsia="Calibri"/>
                <w:sz w:val="17"/>
                <w:szCs w:val="17"/>
                <w:lang w:val="en-GB"/>
              </w:rPr>
            </w:pPr>
            <w:r w:rsidRPr="00746499">
              <w:rPr>
                <w:rFonts w:eastAsia="Calibri"/>
                <w:sz w:val="17"/>
                <w:szCs w:val="17"/>
                <w:lang w:val="en-GB"/>
              </w:rPr>
              <w:t>Target (2022):</w:t>
            </w:r>
          </w:p>
          <w:p w14:paraId="749638F2" w14:textId="77777777" w:rsidR="005555C4" w:rsidRPr="00746499" w:rsidRDefault="005555C4" w:rsidP="005555C4">
            <w:pPr>
              <w:ind w:left="124"/>
              <w:rPr>
                <w:rFonts w:eastAsia="Calibri"/>
                <w:sz w:val="17"/>
                <w:szCs w:val="17"/>
                <w:lang w:val="en-GB"/>
              </w:rPr>
            </w:pPr>
            <w:r w:rsidRPr="00746499">
              <w:rPr>
                <w:rFonts w:eastAsia="Calibri"/>
                <w:i/>
                <w:sz w:val="17"/>
                <w:szCs w:val="17"/>
                <w:lang w:val="en-GB"/>
              </w:rPr>
              <w:t>Parliament</w:t>
            </w:r>
            <w:r w:rsidRPr="00746499">
              <w:rPr>
                <w:rFonts w:eastAsia="Calibri"/>
                <w:sz w:val="17"/>
                <w:szCs w:val="17"/>
                <w:lang w:val="en-GB"/>
              </w:rPr>
              <w:t xml:space="preserve"> Women/Men: 40%/60%;</w:t>
            </w:r>
          </w:p>
          <w:p w14:paraId="42138065" w14:textId="77777777" w:rsidR="005555C4" w:rsidRPr="00746499" w:rsidRDefault="005555C4" w:rsidP="005555C4">
            <w:pPr>
              <w:ind w:left="124"/>
              <w:rPr>
                <w:rFonts w:eastAsia="Calibri"/>
                <w:sz w:val="17"/>
                <w:szCs w:val="17"/>
                <w:lang w:val="en-GB"/>
              </w:rPr>
            </w:pPr>
            <w:r w:rsidRPr="00746499">
              <w:rPr>
                <w:rFonts w:eastAsia="Calibri"/>
                <w:i/>
                <w:sz w:val="17"/>
                <w:szCs w:val="17"/>
                <w:lang w:val="en-GB"/>
              </w:rPr>
              <w:t>Government Cabinet</w:t>
            </w:r>
            <w:r w:rsidRPr="00746499">
              <w:rPr>
                <w:rFonts w:eastAsia="Calibri"/>
                <w:sz w:val="17"/>
                <w:szCs w:val="17"/>
                <w:lang w:val="en-GB"/>
              </w:rPr>
              <w:t xml:space="preserve"> Women/Men: 40%/60%;</w:t>
            </w:r>
          </w:p>
          <w:p w14:paraId="01316C80" w14:textId="471047A7" w:rsidR="005555C4" w:rsidRPr="00746499" w:rsidRDefault="005555C4" w:rsidP="005555C4">
            <w:pPr>
              <w:ind w:left="124"/>
              <w:rPr>
                <w:rFonts w:eastAsia="Calibri"/>
                <w:sz w:val="17"/>
                <w:szCs w:val="17"/>
                <w:lang w:val="en-GB"/>
              </w:rPr>
            </w:pPr>
            <w:r w:rsidRPr="00746499">
              <w:rPr>
                <w:rFonts w:eastAsia="Calibri"/>
                <w:i/>
                <w:sz w:val="17"/>
                <w:szCs w:val="17"/>
                <w:lang w:val="en-GB"/>
              </w:rPr>
              <w:t>LPA mayors</w:t>
            </w:r>
            <w:r w:rsidRPr="00746499">
              <w:rPr>
                <w:rFonts w:eastAsia="Calibri"/>
                <w:sz w:val="17"/>
                <w:szCs w:val="17"/>
                <w:lang w:val="en-GB"/>
              </w:rPr>
              <w:t xml:space="preserve"> Women/Men: 30%/70; </w:t>
            </w:r>
          </w:p>
          <w:p w14:paraId="601C1AC1" w14:textId="29F5E530" w:rsidR="005555C4" w:rsidRPr="00746499" w:rsidRDefault="005555C4" w:rsidP="005555C4">
            <w:pPr>
              <w:ind w:left="124"/>
              <w:rPr>
                <w:rFonts w:eastAsia="Calibri"/>
                <w:sz w:val="17"/>
                <w:szCs w:val="17"/>
                <w:lang w:val="en-GB"/>
              </w:rPr>
            </w:pPr>
            <w:r w:rsidRPr="00746499">
              <w:rPr>
                <w:rFonts w:eastAsia="Calibri"/>
                <w:i/>
                <w:sz w:val="17"/>
                <w:szCs w:val="17"/>
                <w:lang w:val="en-GB"/>
              </w:rPr>
              <w:t>LPA local councillors</w:t>
            </w:r>
            <w:r w:rsidRPr="00746499">
              <w:rPr>
                <w:rFonts w:eastAsia="Calibri"/>
                <w:sz w:val="17"/>
                <w:szCs w:val="17"/>
                <w:lang w:val="en-GB"/>
              </w:rPr>
              <w:t xml:space="preserve"> Women/Men: 40%/60%;  </w:t>
            </w:r>
          </w:p>
          <w:p w14:paraId="313B370E" w14:textId="77777777" w:rsidR="005555C4" w:rsidRPr="00746499" w:rsidRDefault="005555C4" w:rsidP="005555C4">
            <w:pPr>
              <w:ind w:left="124"/>
              <w:rPr>
                <w:rFonts w:eastAsia="Calibri"/>
                <w:sz w:val="17"/>
                <w:szCs w:val="17"/>
                <w:lang w:val="en-GB"/>
              </w:rPr>
            </w:pPr>
            <w:r w:rsidRPr="00746499">
              <w:rPr>
                <w:rFonts w:eastAsia="Calibri"/>
                <w:i/>
                <w:sz w:val="17"/>
                <w:szCs w:val="17"/>
                <w:lang w:val="en-GB"/>
              </w:rPr>
              <w:t xml:space="preserve">LPA district councillors </w:t>
            </w:r>
            <w:r w:rsidRPr="00746499">
              <w:rPr>
                <w:rFonts w:eastAsia="Calibri"/>
                <w:sz w:val="17"/>
                <w:szCs w:val="17"/>
                <w:lang w:val="en-GB"/>
              </w:rPr>
              <w:t>Women/Men: 40%/60%;</w:t>
            </w:r>
          </w:p>
          <w:p w14:paraId="47BBEA54" w14:textId="77777777" w:rsidR="005555C4" w:rsidRPr="00746499" w:rsidRDefault="005555C4" w:rsidP="005555C4">
            <w:pPr>
              <w:ind w:left="124"/>
              <w:rPr>
                <w:rFonts w:eastAsia="Calibri"/>
                <w:sz w:val="17"/>
                <w:szCs w:val="17"/>
                <w:lang w:val="en-GB"/>
              </w:rPr>
            </w:pPr>
          </w:p>
          <w:p w14:paraId="0F1974FB" w14:textId="77777777" w:rsidR="005555C4" w:rsidRPr="00746499" w:rsidRDefault="005555C4" w:rsidP="005555C4">
            <w:pPr>
              <w:rPr>
                <w:rFonts w:eastAsia="Calibri"/>
                <w:sz w:val="17"/>
                <w:szCs w:val="17"/>
                <w:lang w:val="en-GB"/>
              </w:rPr>
            </w:pPr>
            <w:r w:rsidRPr="00746499">
              <w:rPr>
                <w:rFonts w:eastAsia="Calibri"/>
                <w:b/>
                <w:sz w:val="17"/>
                <w:szCs w:val="17"/>
                <w:lang w:val="en-GB"/>
              </w:rPr>
              <w:t>Indicator</w:t>
            </w:r>
            <w:r w:rsidRPr="00746499">
              <w:rPr>
                <w:rFonts w:eastAsia="Calibri"/>
                <w:sz w:val="17"/>
                <w:szCs w:val="17"/>
                <w:lang w:val="en-GB"/>
              </w:rPr>
              <w:t>: Proportion of sustainable development indicators produced at the national level with full disaggregation relevant to the national target</w:t>
            </w:r>
          </w:p>
          <w:p w14:paraId="5EA97A34" w14:textId="28142CEF" w:rsidR="005555C4" w:rsidRPr="00746499" w:rsidRDefault="005555C4" w:rsidP="005555C4">
            <w:pPr>
              <w:rPr>
                <w:sz w:val="17"/>
                <w:szCs w:val="17"/>
                <w:lang w:val="en-GB"/>
              </w:rPr>
            </w:pPr>
            <w:r w:rsidRPr="00746499">
              <w:rPr>
                <w:b/>
                <w:sz w:val="17"/>
                <w:szCs w:val="17"/>
                <w:lang w:val="en-GB"/>
              </w:rPr>
              <w:t xml:space="preserve">Baseline </w:t>
            </w:r>
            <w:r w:rsidRPr="00746499">
              <w:rPr>
                <w:sz w:val="17"/>
                <w:szCs w:val="17"/>
                <w:lang w:val="en-GB"/>
              </w:rPr>
              <w:t xml:space="preserve">(2016): Disaggregated data are available for 35% of </w:t>
            </w:r>
            <w:r w:rsidR="00972E3D" w:rsidRPr="00746499">
              <w:rPr>
                <w:rFonts w:eastAsia="Calibri"/>
                <w:sz w:val="17"/>
                <w:szCs w:val="17"/>
                <w:lang w:val="en-GB"/>
              </w:rPr>
              <w:t>Sustainable Development Goal</w:t>
            </w:r>
            <w:r w:rsidRPr="00746499">
              <w:rPr>
                <w:sz w:val="17"/>
                <w:szCs w:val="17"/>
                <w:lang w:val="en-GB"/>
              </w:rPr>
              <w:t xml:space="preserve"> global indicators, partially available for 15% is and are lacking for 50% </w:t>
            </w:r>
          </w:p>
          <w:p w14:paraId="26C1FF80" w14:textId="77777777" w:rsidR="005555C4" w:rsidRPr="00746499" w:rsidRDefault="005555C4" w:rsidP="005555C4">
            <w:pPr>
              <w:rPr>
                <w:sz w:val="17"/>
                <w:szCs w:val="17"/>
                <w:lang w:val="en-GB"/>
              </w:rPr>
            </w:pPr>
            <w:r w:rsidRPr="00746499">
              <w:rPr>
                <w:b/>
                <w:sz w:val="17"/>
                <w:szCs w:val="17"/>
                <w:lang w:val="en-GB"/>
              </w:rPr>
              <w:t>Target</w:t>
            </w:r>
            <w:r w:rsidRPr="00746499">
              <w:rPr>
                <w:sz w:val="17"/>
                <w:szCs w:val="17"/>
                <w:lang w:val="en-GB"/>
              </w:rPr>
              <w:t xml:space="preserve"> (2022): 50% available, 30% partially available</w:t>
            </w:r>
          </w:p>
          <w:p w14:paraId="7B738679" w14:textId="77777777" w:rsidR="005555C4" w:rsidRPr="00746499" w:rsidRDefault="005555C4" w:rsidP="005555C4">
            <w:pPr>
              <w:rPr>
                <w:b/>
                <w:sz w:val="17"/>
                <w:szCs w:val="17"/>
                <w:lang w:val="en-GB"/>
              </w:rPr>
            </w:pPr>
          </w:p>
          <w:p w14:paraId="19FAB9E9" w14:textId="77777777" w:rsidR="005555C4" w:rsidRPr="00746499" w:rsidRDefault="005555C4" w:rsidP="005555C4">
            <w:pPr>
              <w:rPr>
                <w:b/>
                <w:sz w:val="17"/>
                <w:szCs w:val="17"/>
                <w:lang w:val="en-GB"/>
              </w:rPr>
            </w:pPr>
          </w:p>
          <w:p w14:paraId="42BACD20" w14:textId="77777777" w:rsidR="005555C4" w:rsidRPr="00746499" w:rsidRDefault="005555C4" w:rsidP="005555C4">
            <w:pPr>
              <w:rPr>
                <w:sz w:val="17"/>
                <w:szCs w:val="17"/>
                <w:lang w:val="en-GB"/>
              </w:rPr>
            </w:pPr>
            <w:r w:rsidRPr="00746499">
              <w:rPr>
                <w:b/>
                <w:sz w:val="17"/>
                <w:szCs w:val="17"/>
                <w:lang w:val="en-GB"/>
              </w:rPr>
              <w:t>Indicator</w:t>
            </w:r>
            <w:r w:rsidRPr="00746499">
              <w:rPr>
                <w:sz w:val="17"/>
                <w:szCs w:val="17"/>
                <w:lang w:val="en-GB"/>
              </w:rPr>
              <w:t>: Reduced discrimination (non-acceptance) of social groups vulnerable to discrimination</w:t>
            </w:r>
          </w:p>
          <w:p w14:paraId="135C2848" w14:textId="2B594E1E" w:rsidR="005555C4" w:rsidRPr="00746499" w:rsidRDefault="005555C4" w:rsidP="005555C4">
            <w:pPr>
              <w:rPr>
                <w:sz w:val="17"/>
                <w:szCs w:val="17"/>
                <w:lang w:val="en-GB"/>
              </w:rPr>
            </w:pPr>
            <w:r w:rsidRPr="00746499">
              <w:rPr>
                <w:b/>
                <w:sz w:val="17"/>
                <w:szCs w:val="17"/>
                <w:lang w:val="en-GB"/>
              </w:rPr>
              <w:t>Baseline</w:t>
            </w:r>
            <w:r w:rsidRPr="00746499">
              <w:rPr>
                <w:sz w:val="17"/>
                <w:szCs w:val="17"/>
                <w:lang w:val="en-GB"/>
              </w:rPr>
              <w:t xml:space="preserve">: Social distance </w:t>
            </w:r>
            <w:r w:rsidR="000C6C81" w:rsidRPr="00746499">
              <w:rPr>
                <w:sz w:val="17"/>
                <w:szCs w:val="17"/>
                <w:lang w:val="en-GB"/>
              </w:rPr>
              <w:t>regarding the listed</w:t>
            </w:r>
            <w:r w:rsidRPr="00746499">
              <w:rPr>
                <w:sz w:val="17"/>
                <w:szCs w:val="17"/>
                <w:lang w:val="en-GB"/>
              </w:rPr>
              <w:t>:</w:t>
            </w:r>
          </w:p>
          <w:p w14:paraId="7A88C78B" w14:textId="208CBED3" w:rsidR="00BE7DFF" w:rsidRPr="00746499" w:rsidRDefault="005555C4" w:rsidP="005555C4">
            <w:pPr>
              <w:rPr>
                <w:sz w:val="17"/>
                <w:szCs w:val="17"/>
                <w:lang w:val="en-GB"/>
              </w:rPr>
            </w:pPr>
            <w:r w:rsidRPr="00746499">
              <w:rPr>
                <w:sz w:val="17"/>
                <w:szCs w:val="17"/>
                <w:lang w:val="en-GB"/>
              </w:rPr>
              <w:t>People with physical disabilities – 2,</w:t>
            </w:r>
            <w:r w:rsidR="0038483D" w:rsidRPr="00746499">
              <w:rPr>
                <w:sz w:val="17"/>
                <w:szCs w:val="17"/>
                <w:lang w:val="en-GB"/>
              </w:rPr>
              <w:t xml:space="preserve">2; </w:t>
            </w:r>
          </w:p>
          <w:p w14:paraId="002E4DE6" w14:textId="04C09A14" w:rsidR="00BE7DFF" w:rsidRPr="00746499" w:rsidRDefault="005555C4" w:rsidP="005555C4">
            <w:pPr>
              <w:rPr>
                <w:sz w:val="17"/>
                <w:szCs w:val="17"/>
                <w:lang w:val="en-GB"/>
              </w:rPr>
            </w:pPr>
            <w:r w:rsidRPr="00746499">
              <w:rPr>
                <w:sz w:val="17"/>
                <w:szCs w:val="17"/>
                <w:lang w:val="en-GB"/>
              </w:rPr>
              <w:t>People with intellectual</w:t>
            </w:r>
            <w:r w:rsidR="000C6C81" w:rsidRPr="00746499">
              <w:rPr>
                <w:sz w:val="17"/>
                <w:szCs w:val="17"/>
                <w:lang w:val="en-GB"/>
              </w:rPr>
              <w:t>/</w:t>
            </w:r>
            <w:r w:rsidRPr="00746499">
              <w:rPr>
                <w:sz w:val="17"/>
                <w:szCs w:val="17"/>
                <w:lang w:val="en-GB"/>
              </w:rPr>
              <w:t xml:space="preserve">psychosocial disabilities – 3,6;  Jews – 2,3; Religious minorities, </w:t>
            </w:r>
            <w:r w:rsidR="000C6C81" w:rsidRPr="00746499">
              <w:rPr>
                <w:sz w:val="17"/>
                <w:szCs w:val="17"/>
                <w:lang w:val="en-GB"/>
              </w:rPr>
              <w:t xml:space="preserve">non-Muslims </w:t>
            </w:r>
            <w:r w:rsidR="000C6C81" w:rsidRPr="00746499">
              <w:rPr>
                <w:sz w:val="17"/>
                <w:szCs w:val="17"/>
                <w:lang w:val="en-GB"/>
              </w:rPr>
              <w:lastRenderedPageBreak/>
              <w:t xml:space="preserve">– 2,3; - Roma </w:t>
            </w:r>
            <w:r w:rsidRPr="00746499">
              <w:rPr>
                <w:sz w:val="17"/>
                <w:szCs w:val="17"/>
                <w:lang w:val="en-GB"/>
              </w:rPr>
              <w:t xml:space="preserve"> – 3,1; Muslims – 3,3; People of African descent – 3,1; Ex-inmates – 3,6; </w:t>
            </w:r>
          </w:p>
          <w:p w14:paraId="51821BF6" w14:textId="5FAD73DF" w:rsidR="005555C4" w:rsidRPr="00746499" w:rsidRDefault="005555C4" w:rsidP="005555C4">
            <w:pPr>
              <w:rPr>
                <w:sz w:val="17"/>
                <w:szCs w:val="17"/>
                <w:lang w:val="en-GB"/>
              </w:rPr>
            </w:pPr>
            <w:r w:rsidRPr="00746499">
              <w:rPr>
                <w:sz w:val="17"/>
                <w:szCs w:val="17"/>
                <w:lang w:val="en-GB"/>
              </w:rPr>
              <w:t>People living with HIV – 4</w:t>
            </w:r>
            <w:r w:rsidR="00BE51E5" w:rsidRPr="00746499">
              <w:rPr>
                <w:sz w:val="17"/>
                <w:szCs w:val="17"/>
                <w:lang w:val="en-GB"/>
              </w:rPr>
              <w:t>, 3</w:t>
            </w:r>
            <w:r w:rsidRPr="00746499">
              <w:rPr>
                <w:sz w:val="17"/>
                <w:szCs w:val="17"/>
                <w:lang w:val="en-GB"/>
              </w:rPr>
              <w:t>; LGBT people – 5</w:t>
            </w:r>
            <w:r w:rsidR="00BE51E5" w:rsidRPr="00746499">
              <w:rPr>
                <w:sz w:val="17"/>
                <w:szCs w:val="17"/>
                <w:lang w:val="en-GB"/>
              </w:rPr>
              <w:t>, 2</w:t>
            </w:r>
            <w:r w:rsidRPr="00746499">
              <w:rPr>
                <w:sz w:val="17"/>
                <w:szCs w:val="17"/>
                <w:lang w:val="en-GB"/>
              </w:rPr>
              <w:t>.</w:t>
            </w:r>
          </w:p>
          <w:p w14:paraId="077782FD" w14:textId="77777777" w:rsidR="005555C4" w:rsidRPr="00746499" w:rsidRDefault="005555C4" w:rsidP="005555C4">
            <w:pPr>
              <w:rPr>
                <w:sz w:val="17"/>
                <w:szCs w:val="17"/>
                <w:lang w:val="en-GB"/>
              </w:rPr>
            </w:pPr>
            <w:r w:rsidRPr="00746499">
              <w:rPr>
                <w:b/>
                <w:sz w:val="17"/>
                <w:szCs w:val="17"/>
                <w:lang w:val="en-GB"/>
              </w:rPr>
              <w:t>Target</w:t>
            </w:r>
            <w:r w:rsidRPr="00746499">
              <w:rPr>
                <w:sz w:val="17"/>
                <w:szCs w:val="17"/>
                <w:lang w:val="en-GB"/>
              </w:rPr>
              <w:t>: By 2022 social distance reduced as per below:</w:t>
            </w:r>
          </w:p>
          <w:p w14:paraId="6489F433" w14:textId="6EBC95F6" w:rsidR="00BE7DFF" w:rsidRPr="00746499" w:rsidRDefault="005555C4" w:rsidP="00BE7DFF">
            <w:pPr>
              <w:rPr>
                <w:sz w:val="17"/>
                <w:szCs w:val="17"/>
                <w:lang w:val="en-GB"/>
              </w:rPr>
            </w:pPr>
            <w:r w:rsidRPr="00746499">
              <w:rPr>
                <w:sz w:val="17"/>
                <w:szCs w:val="17"/>
                <w:lang w:val="en-GB"/>
              </w:rPr>
              <w:t xml:space="preserve">People with physical disabilities – 1,9; </w:t>
            </w:r>
          </w:p>
          <w:p w14:paraId="7C3FF222" w14:textId="53D1FFFE" w:rsidR="00BE7DFF" w:rsidRPr="00746499" w:rsidRDefault="005555C4" w:rsidP="00BE7DFF">
            <w:pPr>
              <w:rPr>
                <w:sz w:val="17"/>
                <w:szCs w:val="17"/>
                <w:lang w:val="en-GB"/>
              </w:rPr>
            </w:pPr>
            <w:r w:rsidRPr="00746499">
              <w:rPr>
                <w:sz w:val="17"/>
                <w:szCs w:val="17"/>
                <w:lang w:val="en-GB"/>
              </w:rPr>
              <w:t>People with intellectual and psychosocial disabilities – 3,2;</w:t>
            </w:r>
          </w:p>
          <w:p w14:paraId="0EE8D67D" w14:textId="475C4D40" w:rsidR="005555C4" w:rsidRPr="00746499" w:rsidRDefault="005555C4" w:rsidP="00BE7DFF">
            <w:pPr>
              <w:rPr>
                <w:sz w:val="17"/>
                <w:szCs w:val="17"/>
                <w:lang w:val="en-GB"/>
              </w:rPr>
            </w:pPr>
            <w:r w:rsidRPr="00746499">
              <w:rPr>
                <w:sz w:val="17"/>
                <w:szCs w:val="17"/>
                <w:lang w:val="en-GB"/>
              </w:rPr>
              <w:t xml:space="preserve"> Jews – 2,</w:t>
            </w:r>
            <w:r w:rsidR="0038483D" w:rsidRPr="00746499">
              <w:rPr>
                <w:sz w:val="17"/>
                <w:szCs w:val="17"/>
                <w:lang w:val="en-GB"/>
              </w:rPr>
              <w:t>0;</w:t>
            </w:r>
            <w:r w:rsidRPr="00746499">
              <w:rPr>
                <w:sz w:val="17"/>
                <w:szCs w:val="17"/>
                <w:lang w:val="en-GB"/>
              </w:rPr>
              <w:t xml:space="preserve"> Religious minorities, other than Muslims – 2,0; Roma people – 2,8; Muslims – 3,0; People of African descent – 2,8; Ex-inmates – 3,2; People living with HIV – 3,8; LGBT people – 4,5.</w:t>
            </w:r>
          </w:p>
        </w:tc>
        <w:tc>
          <w:tcPr>
            <w:tcW w:w="689" w:type="pct"/>
            <w:gridSpan w:val="2"/>
            <w:vMerge w:val="restart"/>
          </w:tcPr>
          <w:p w14:paraId="15794431" w14:textId="3FE78F31" w:rsidR="005555C4" w:rsidRPr="00746499" w:rsidRDefault="005555C4" w:rsidP="005555C4">
            <w:pPr>
              <w:rPr>
                <w:sz w:val="17"/>
                <w:szCs w:val="17"/>
                <w:lang w:val="en-GB"/>
              </w:rPr>
            </w:pPr>
            <w:r w:rsidRPr="00746499">
              <w:rPr>
                <w:sz w:val="17"/>
                <w:szCs w:val="17"/>
                <w:lang w:val="en-GB"/>
              </w:rPr>
              <w:lastRenderedPageBreak/>
              <w:t>Barometer of P</w:t>
            </w:r>
            <w:r w:rsidR="00EE5CCC" w:rsidRPr="00746499">
              <w:rPr>
                <w:sz w:val="17"/>
                <w:szCs w:val="17"/>
                <w:lang w:val="en-GB"/>
              </w:rPr>
              <w:t>ublic Opinion (semi-annual)/</w:t>
            </w:r>
            <w:r w:rsidR="009922A0" w:rsidRPr="00746499">
              <w:rPr>
                <w:sz w:val="17"/>
                <w:szCs w:val="17"/>
                <w:lang w:val="en-GB"/>
              </w:rPr>
              <w:t>Institute for Public Policy</w:t>
            </w:r>
          </w:p>
          <w:p w14:paraId="6839C9EA" w14:textId="77777777" w:rsidR="005555C4" w:rsidRPr="00746499" w:rsidRDefault="005555C4" w:rsidP="005555C4">
            <w:pPr>
              <w:rPr>
                <w:sz w:val="17"/>
                <w:szCs w:val="17"/>
                <w:lang w:val="en-GB"/>
              </w:rPr>
            </w:pPr>
          </w:p>
          <w:p w14:paraId="0C04061B" w14:textId="77777777" w:rsidR="005555C4" w:rsidRPr="00746499" w:rsidRDefault="005555C4" w:rsidP="005555C4">
            <w:pPr>
              <w:rPr>
                <w:sz w:val="17"/>
                <w:szCs w:val="17"/>
                <w:lang w:val="en-GB"/>
              </w:rPr>
            </w:pPr>
          </w:p>
          <w:p w14:paraId="116AE319" w14:textId="77777777" w:rsidR="005555C4" w:rsidRPr="00746499" w:rsidRDefault="005555C4" w:rsidP="005555C4">
            <w:pPr>
              <w:rPr>
                <w:sz w:val="17"/>
                <w:szCs w:val="17"/>
                <w:lang w:val="en-GB"/>
              </w:rPr>
            </w:pPr>
          </w:p>
          <w:p w14:paraId="4C96ECC7" w14:textId="77777777" w:rsidR="005555C4" w:rsidRPr="00746499" w:rsidRDefault="005555C4" w:rsidP="005555C4">
            <w:pPr>
              <w:rPr>
                <w:sz w:val="17"/>
                <w:szCs w:val="17"/>
                <w:lang w:val="en-GB"/>
              </w:rPr>
            </w:pPr>
          </w:p>
          <w:p w14:paraId="55067F0F" w14:textId="77777777" w:rsidR="005555C4" w:rsidRPr="00746499" w:rsidRDefault="005555C4" w:rsidP="005555C4">
            <w:pPr>
              <w:rPr>
                <w:sz w:val="17"/>
                <w:szCs w:val="17"/>
                <w:lang w:val="en-GB"/>
              </w:rPr>
            </w:pPr>
          </w:p>
          <w:p w14:paraId="75454A72" w14:textId="77777777" w:rsidR="005555C4" w:rsidRPr="00746499" w:rsidRDefault="005555C4" w:rsidP="005555C4">
            <w:pPr>
              <w:rPr>
                <w:sz w:val="17"/>
                <w:szCs w:val="17"/>
                <w:lang w:val="en-GB"/>
              </w:rPr>
            </w:pPr>
          </w:p>
          <w:p w14:paraId="7E45FC1C" w14:textId="77777777" w:rsidR="005555C4" w:rsidRPr="00746499" w:rsidRDefault="005555C4" w:rsidP="005555C4">
            <w:pPr>
              <w:rPr>
                <w:sz w:val="17"/>
                <w:szCs w:val="17"/>
                <w:lang w:val="en-GB"/>
              </w:rPr>
            </w:pPr>
          </w:p>
          <w:p w14:paraId="5DE5B262" w14:textId="77777777" w:rsidR="005555C4" w:rsidRPr="00746499" w:rsidRDefault="005555C4" w:rsidP="005555C4">
            <w:pPr>
              <w:rPr>
                <w:sz w:val="17"/>
                <w:szCs w:val="17"/>
                <w:lang w:val="en-GB"/>
              </w:rPr>
            </w:pPr>
          </w:p>
          <w:p w14:paraId="4FF94F50" w14:textId="77777777" w:rsidR="005555C4" w:rsidRPr="00746499" w:rsidRDefault="005555C4" w:rsidP="005555C4">
            <w:pPr>
              <w:rPr>
                <w:sz w:val="17"/>
                <w:szCs w:val="17"/>
                <w:lang w:val="en-GB"/>
              </w:rPr>
            </w:pPr>
          </w:p>
          <w:p w14:paraId="2A64979D" w14:textId="77777777" w:rsidR="005555C4" w:rsidRPr="00746499" w:rsidRDefault="005555C4" w:rsidP="005555C4">
            <w:pPr>
              <w:rPr>
                <w:sz w:val="17"/>
                <w:szCs w:val="17"/>
                <w:lang w:val="en-GB"/>
              </w:rPr>
            </w:pPr>
          </w:p>
          <w:p w14:paraId="70193CEC" w14:textId="77777777" w:rsidR="005555C4" w:rsidRPr="00746499" w:rsidRDefault="005555C4" w:rsidP="005555C4">
            <w:pPr>
              <w:rPr>
                <w:sz w:val="17"/>
                <w:szCs w:val="17"/>
                <w:lang w:val="en-GB"/>
              </w:rPr>
            </w:pPr>
          </w:p>
          <w:p w14:paraId="1343103D" w14:textId="77777777" w:rsidR="005555C4" w:rsidRPr="00746499" w:rsidRDefault="005555C4" w:rsidP="005555C4">
            <w:pPr>
              <w:rPr>
                <w:sz w:val="17"/>
                <w:szCs w:val="17"/>
                <w:lang w:val="en-GB"/>
              </w:rPr>
            </w:pPr>
          </w:p>
          <w:p w14:paraId="0ED2BA39" w14:textId="77777777" w:rsidR="005555C4" w:rsidRPr="00746499" w:rsidRDefault="005555C4" w:rsidP="005555C4">
            <w:pPr>
              <w:rPr>
                <w:sz w:val="17"/>
                <w:szCs w:val="17"/>
                <w:lang w:val="en-GB"/>
              </w:rPr>
            </w:pPr>
          </w:p>
          <w:p w14:paraId="453EC9D0" w14:textId="77777777" w:rsidR="005555C4" w:rsidRPr="00746499" w:rsidRDefault="005555C4" w:rsidP="005555C4">
            <w:pPr>
              <w:rPr>
                <w:sz w:val="17"/>
                <w:szCs w:val="17"/>
                <w:lang w:val="en-GB"/>
              </w:rPr>
            </w:pPr>
          </w:p>
          <w:p w14:paraId="14D117BE" w14:textId="77777777" w:rsidR="005555C4" w:rsidRPr="00746499" w:rsidRDefault="005555C4" w:rsidP="005555C4">
            <w:pPr>
              <w:rPr>
                <w:sz w:val="17"/>
                <w:szCs w:val="17"/>
                <w:lang w:val="en-GB"/>
              </w:rPr>
            </w:pPr>
          </w:p>
          <w:p w14:paraId="34888C12" w14:textId="77777777" w:rsidR="005555C4" w:rsidRPr="00746499" w:rsidRDefault="005555C4" w:rsidP="005555C4">
            <w:pPr>
              <w:rPr>
                <w:sz w:val="17"/>
                <w:szCs w:val="17"/>
                <w:lang w:val="en-GB"/>
              </w:rPr>
            </w:pPr>
          </w:p>
          <w:p w14:paraId="75726348" w14:textId="77777777" w:rsidR="005555C4" w:rsidRPr="00746499" w:rsidRDefault="005555C4" w:rsidP="005555C4">
            <w:pPr>
              <w:rPr>
                <w:sz w:val="17"/>
                <w:szCs w:val="17"/>
                <w:lang w:val="en-GB"/>
              </w:rPr>
            </w:pPr>
          </w:p>
          <w:p w14:paraId="4057ABB4" w14:textId="77777777" w:rsidR="005555C4" w:rsidRPr="00746499" w:rsidRDefault="005555C4" w:rsidP="005555C4">
            <w:pPr>
              <w:rPr>
                <w:sz w:val="17"/>
                <w:szCs w:val="17"/>
                <w:lang w:val="en-GB"/>
              </w:rPr>
            </w:pPr>
          </w:p>
          <w:p w14:paraId="7E62FD9E" w14:textId="77777777" w:rsidR="005555C4" w:rsidRPr="00746499" w:rsidRDefault="005555C4" w:rsidP="005555C4">
            <w:pPr>
              <w:rPr>
                <w:sz w:val="17"/>
                <w:szCs w:val="17"/>
                <w:lang w:val="en-GB"/>
              </w:rPr>
            </w:pPr>
          </w:p>
          <w:p w14:paraId="36A87F73" w14:textId="77777777" w:rsidR="005555C4" w:rsidRPr="00746499" w:rsidRDefault="005555C4" w:rsidP="005555C4">
            <w:pPr>
              <w:rPr>
                <w:sz w:val="17"/>
                <w:szCs w:val="17"/>
                <w:lang w:val="en-GB"/>
              </w:rPr>
            </w:pPr>
          </w:p>
          <w:p w14:paraId="792E2BBA" w14:textId="77777777" w:rsidR="005555C4" w:rsidRPr="00746499" w:rsidRDefault="005555C4" w:rsidP="005555C4">
            <w:pPr>
              <w:rPr>
                <w:sz w:val="17"/>
                <w:szCs w:val="17"/>
                <w:lang w:val="en-GB"/>
              </w:rPr>
            </w:pPr>
          </w:p>
          <w:p w14:paraId="7B506D50" w14:textId="77777777" w:rsidR="005555C4" w:rsidRPr="00746499" w:rsidRDefault="005555C4" w:rsidP="005555C4">
            <w:pPr>
              <w:rPr>
                <w:sz w:val="17"/>
                <w:szCs w:val="17"/>
                <w:lang w:val="en-GB"/>
              </w:rPr>
            </w:pPr>
          </w:p>
          <w:p w14:paraId="577E81E2" w14:textId="77777777" w:rsidR="005555C4" w:rsidRPr="00746499" w:rsidRDefault="005555C4" w:rsidP="00EE5CCC">
            <w:pPr>
              <w:widowControl w:val="0"/>
              <w:rPr>
                <w:rFonts w:eastAsia="Calibri"/>
                <w:sz w:val="17"/>
                <w:szCs w:val="17"/>
                <w:lang w:val="en-GB"/>
              </w:rPr>
            </w:pPr>
            <w:r w:rsidRPr="00746499">
              <w:rPr>
                <w:rFonts w:eastAsia="Calibri"/>
                <w:sz w:val="17"/>
                <w:szCs w:val="17"/>
                <w:lang w:val="en-GB"/>
              </w:rPr>
              <w:t xml:space="preserve">Biannual Survey “Corruption in </w:t>
            </w:r>
            <w:r w:rsidR="00EE5CCC" w:rsidRPr="00746499">
              <w:rPr>
                <w:rFonts w:eastAsia="Calibri"/>
                <w:sz w:val="17"/>
                <w:szCs w:val="17"/>
                <w:lang w:val="en-GB"/>
              </w:rPr>
              <w:t>Moldova</w:t>
            </w:r>
            <w:r w:rsidRPr="00746499">
              <w:rPr>
                <w:rFonts w:eastAsia="Calibri"/>
                <w:sz w:val="17"/>
                <w:szCs w:val="17"/>
                <w:lang w:val="en-GB"/>
              </w:rPr>
              <w:t>”, Transparency International</w:t>
            </w:r>
          </w:p>
          <w:p w14:paraId="54F50DC8" w14:textId="77777777" w:rsidR="005555C4" w:rsidRPr="00746499" w:rsidRDefault="005555C4" w:rsidP="00C1691C">
            <w:pPr>
              <w:rPr>
                <w:b/>
                <w:bCs/>
                <w:i/>
                <w:color w:val="000000"/>
                <w:sz w:val="17"/>
                <w:szCs w:val="17"/>
                <w:lang w:val="en-GB"/>
              </w:rPr>
            </w:pPr>
          </w:p>
        </w:tc>
        <w:tc>
          <w:tcPr>
            <w:tcW w:w="1534" w:type="pct"/>
            <w:gridSpan w:val="2"/>
            <w:vMerge w:val="restart"/>
            <w:tcMar>
              <w:top w:w="72" w:type="dxa"/>
              <w:left w:w="144" w:type="dxa"/>
              <w:bottom w:w="72" w:type="dxa"/>
              <w:right w:w="144" w:type="dxa"/>
            </w:tcMar>
          </w:tcPr>
          <w:p w14:paraId="581E820E" w14:textId="290C9475" w:rsidR="005555C4" w:rsidRPr="00746499" w:rsidRDefault="005555C4" w:rsidP="005555C4">
            <w:pPr>
              <w:rPr>
                <w:b/>
                <w:iCs/>
                <w:color w:val="000000"/>
                <w:sz w:val="17"/>
                <w:szCs w:val="17"/>
                <w:lang w:val="en-GB"/>
              </w:rPr>
            </w:pPr>
            <w:r w:rsidRPr="00746499">
              <w:rPr>
                <w:b/>
                <w:iCs/>
                <w:color w:val="000000"/>
                <w:sz w:val="17"/>
                <w:szCs w:val="17"/>
                <w:lang w:val="en-GB"/>
              </w:rPr>
              <w:lastRenderedPageBreak/>
              <w:t xml:space="preserve">OUTPUT 1.1: Enhanced legislative, oversight and representation functions of Parliament responsive to the needs of the </w:t>
            </w:r>
            <w:r w:rsidR="00353F60" w:rsidRPr="00746499">
              <w:rPr>
                <w:b/>
                <w:iCs/>
                <w:color w:val="000000"/>
                <w:sz w:val="17"/>
                <w:szCs w:val="17"/>
                <w:lang w:val="en-GB"/>
              </w:rPr>
              <w:t xml:space="preserve">underrepresented and marginalized </w:t>
            </w:r>
            <w:r w:rsidRPr="00746499">
              <w:rPr>
                <w:b/>
                <w:iCs/>
                <w:color w:val="000000"/>
                <w:sz w:val="17"/>
                <w:szCs w:val="17"/>
                <w:lang w:val="en-GB"/>
              </w:rPr>
              <w:t>groups</w:t>
            </w:r>
            <w:r w:rsidR="00E90D65" w:rsidRPr="00746499">
              <w:rPr>
                <w:b/>
                <w:iCs/>
                <w:color w:val="000000"/>
                <w:sz w:val="17"/>
                <w:szCs w:val="17"/>
                <w:lang w:val="en-GB"/>
              </w:rPr>
              <w:t xml:space="preserve"> through the meaningful engagement of the latest</w:t>
            </w:r>
          </w:p>
          <w:p w14:paraId="2570291B" w14:textId="77777777" w:rsidR="005108DA" w:rsidRPr="00746499" w:rsidRDefault="005108DA" w:rsidP="005555C4">
            <w:pPr>
              <w:rPr>
                <w:b/>
                <w:iCs/>
                <w:color w:val="000000"/>
                <w:sz w:val="17"/>
                <w:szCs w:val="17"/>
                <w:lang w:val="en-GB"/>
              </w:rPr>
            </w:pPr>
          </w:p>
          <w:p w14:paraId="5AE5B85D" w14:textId="77777777" w:rsidR="005555C4" w:rsidRPr="00746499" w:rsidRDefault="005555C4" w:rsidP="005555C4">
            <w:pPr>
              <w:rPr>
                <w:iCs/>
                <w:color w:val="000000"/>
                <w:sz w:val="17"/>
                <w:szCs w:val="17"/>
                <w:lang w:val="en-GB"/>
              </w:rPr>
            </w:pPr>
            <w:r w:rsidRPr="00746499">
              <w:rPr>
                <w:b/>
                <w:iCs/>
                <w:color w:val="000000"/>
                <w:sz w:val="17"/>
                <w:szCs w:val="17"/>
                <w:lang w:val="en-GB"/>
              </w:rPr>
              <w:t>Indicator 1.1.1:</w:t>
            </w:r>
            <w:r w:rsidRPr="00746499">
              <w:rPr>
                <w:iCs/>
                <w:color w:val="000000"/>
                <w:sz w:val="17"/>
                <w:szCs w:val="17"/>
                <w:lang w:val="en-GB"/>
              </w:rPr>
              <w:t xml:space="preserve"> Extent to which the Parliament has improved its administrative and human resources capacities required to discharge its mandates in relation to law-making, oversight and representation</w:t>
            </w:r>
            <w:r w:rsidR="005108DA" w:rsidRPr="00746499">
              <w:rPr>
                <w:rStyle w:val="FootnoteReference"/>
                <w:iCs/>
                <w:color w:val="000000"/>
                <w:sz w:val="17"/>
                <w:szCs w:val="17"/>
                <w:lang w:val="en-GB"/>
              </w:rPr>
              <w:footnoteReference w:id="19"/>
            </w:r>
            <w:r w:rsidRPr="00746499">
              <w:rPr>
                <w:iCs/>
                <w:color w:val="000000"/>
                <w:sz w:val="17"/>
                <w:szCs w:val="17"/>
                <w:lang w:val="en-GB"/>
              </w:rPr>
              <w:t xml:space="preserve"> </w:t>
            </w:r>
          </w:p>
          <w:p w14:paraId="192CDD70" w14:textId="77777777" w:rsidR="008F7B21" w:rsidRDefault="005555C4" w:rsidP="005555C4">
            <w:pPr>
              <w:rPr>
                <w:bCs/>
                <w:color w:val="000000"/>
                <w:sz w:val="17"/>
                <w:szCs w:val="17"/>
                <w:lang w:val="en-GB"/>
              </w:rPr>
            </w:pPr>
            <w:r w:rsidRPr="00746499">
              <w:rPr>
                <w:b/>
                <w:bCs/>
                <w:color w:val="000000"/>
                <w:sz w:val="17"/>
                <w:szCs w:val="17"/>
                <w:lang w:val="en-GB"/>
              </w:rPr>
              <w:t xml:space="preserve">Baseline </w:t>
            </w:r>
            <w:r w:rsidRPr="00746499">
              <w:rPr>
                <w:bCs/>
                <w:color w:val="000000"/>
                <w:sz w:val="17"/>
                <w:szCs w:val="17"/>
                <w:lang w:val="en-GB"/>
              </w:rPr>
              <w:t>(2016)</w:t>
            </w:r>
            <w:r w:rsidRPr="00746499">
              <w:rPr>
                <w:bCs/>
                <w:color w:val="000000"/>
                <w:sz w:val="17"/>
                <w:szCs w:val="17"/>
              </w:rPr>
              <w:t xml:space="preserve">: </w:t>
            </w:r>
            <w:r w:rsidRPr="00746499">
              <w:rPr>
                <w:bCs/>
                <w:color w:val="000000"/>
                <w:sz w:val="17"/>
                <w:szCs w:val="17"/>
                <w:lang w:val="en-GB"/>
              </w:rPr>
              <w:t>3</w:t>
            </w:r>
          </w:p>
          <w:p w14:paraId="39DEB388" w14:textId="6937CD7B" w:rsidR="005555C4" w:rsidRPr="00746499" w:rsidRDefault="005555C4" w:rsidP="005555C4">
            <w:pPr>
              <w:rPr>
                <w:bCs/>
                <w:color w:val="000000"/>
                <w:sz w:val="17"/>
                <w:szCs w:val="17"/>
                <w:lang w:val="en-GB"/>
              </w:rPr>
            </w:pPr>
            <w:r w:rsidRPr="00746499">
              <w:rPr>
                <w:b/>
                <w:bCs/>
                <w:color w:val="000000"/>
                <w:sz w:val="17"/>
                <w:szCs w:val="17"/>
                <w:lang w:val="en-GB"/>
              </w:rPr>
              <w:t xml:space="preserve">Target: </w:t>
            </w:r>
            <w:r w:rsidRPr="00746499">
              <w:rPr>
                <w:bCs/>
                <w:color w:val="000000"/>
                <w:sz w:val="17"/>
                <w:szCs w:val="17"/>
                <w:lang w:val="en-GB"/>
              </w:rPr>
              <w:t>4</w:t>
            </w:r>
          </w:p>
          <w:p w14:paraId="2F9A49E4" w14:textId="340E01F4" w:rsidR="005555C4" w:rsidRPr="00746499" w:rsidRDefault="005555C4" w:rsidP="005555C4">
            <w:pPr>
              <w:rPr>
                <w:sz w:val="17"/>
                <w:szCs w:val="17"/>
                <w:lang w:eastAsia="uz-Cyrl-UZ"/>
              </w:rPr>
            </w:pPr>
            <w:r w:rsidRPr="00746499">
              <w:rPr>
                <w:b/>
                <w:sz w:val="17"/>
                <w:szCs w:val="17"/>
              </w:rPr>
              <w:t>Means of verification:</w:t>
            </w:r>
            <w:r w:rsidRPr="00746499">
              <w:rPr>
                <w:sz w:val="17"/>
                <w:szCs w:val="17"/>
              </w:rPr>
              <w:t xml:space="preserve"> </w:t>
            </w:r>
            <w:r w:rsidR="000C6C81" w:rsidRPr="00746499">
              <w:rPr>
                <w:sz w:val="17"/>
                <w:szCs w:val="17"/>
                <w:lang w:eastAsia="uz-Cyrl-UZ"/>
              </w:rPr>
              <w:t>UNDP reports</w:t>
            </w:r>
          </w:p>
          <w:p w14:paraId="4D116F5E" w14:textId="77777777" w:rsidR="005555C4" w:rsidRPr="00746499" w:rsidRDefault="005555C4" w:rsidP="005555C4">
            <w:pPr>
              <w:rPr>
                <w:sz w:val="17"/>
                <w:szCs w:val="17"/>
                <w:lang w:eastAsia="uz-Cyrl-UZ"/>
              </w:rPr>
            </w:pPr>
          </w:p>
          <w:p w14:paraId="30EA4430" w14:textId="3B0C733B" w:rsidR="005555C4" w:rsidRPr="00746499" w:rsidRDefault="005555C4" w:rsidP="005555C4">
            <w:pPr>
              <w:rPr>
                <w:sz w:val="17"/>
                <w:szCs w:val="17"/>
              </w:rPr>
            </w:pPr>
            <w:r w:rsidRPr="00746499">
              <w:rPr>
                <w:b/>
                <w:iCs/>
                <w:color w:val="000000"/>
                <w:sz w:val="17"/>
                <w:szCs w:val="17"/>
                <w:lang w:val="en-GB"/>
              </w:rPr>
              <w:t>Indicator 1.1.2:</w:t>
            </w:r>
            <w:r w:rsidRPr="00746499">
              <w:rPr>
                <w:iCs/>
                <w:color w:val="000000"/>
                <w:sz w:val="17"/>
                <w:szCs w:val="17"/>
                <w:lang w:val="en-GB"/>
              </w:rPr>
              <w:t xml:space="preserve"> </w:t>
            </w:r>
            <w:r w:rsidRPr="00746499">
              <w:rPr>
                <w:sz w:val="17"/>
                <w:szCs w:val="17"/>
              </w:rPr>
              <w:t xml:space="preserve">Share of policy initiatives addressing needs of underrepresented and </w:t>
            </w:r>
            <w:r w:rsidR="00353F60" w:rsidRPr="00746499">
              <w:rPr>
                <w:sz w:val="17"/>
                <w:szCs w:val="17"/>
              </w:rPr>
              <w:t>marginalized</w:t>
            </w:r>
            <w:r w:rsidRPr="00746499">
              <w:rPr>
                <w:sz w:val="17"/>
                <w:szCs w:val="17"/>
              </w:rPr>
              <w:t xml:space="preserve"> groups, consulted by Parliament with CSOs and other interested groups</w:t>
            </w:r>
          </w:p>
          <w:p w14:paraId="2646B384" w14:textId="77777777" w:rsidR="005555C4" w:rsidRPr="00746499" w:rsidRDefault="005555C4" w:rsidP="005555C4">
            <w:pPr>
              <w:rPr>
                <w:sz w:val="17"/>
                <w:szCs w:val="17"/>
              </w:rPr>
            </w:pPr>
            <w:r w:rsidRPr="00746499">
              <w:rPr>
                <w:sz w:val="17"/>
                <w:szCs w:val="17"/>
              </w:rPr>
              <w:t>Baseline (2016): 11.4%; Target: 30%</w:t>
            </w:r>
          </w:p>
          <w:p w14:paraId="01618CC6" w14:textId="049E4A99" w:rsidR="005555C4" w:rsidRPr="00746499" w:rsidRDefault="005555C4" w:rsidP="005555C4">
            <w:pPr>
              <w:rPr>
                <w:sz w:val="17"/>
                <w:szCs w:val="17"/>
              </w:rPr>
            </w:pPr>
            <w:r w:rsidRPr="00746499">
              <w:rPr>
                <w:sz w:val="17"/>
                <w:szCs w:val="17"/>
              </w:rPr>
              <w:t xml:space="preserve">Means of verification: Parliament </w:t>
            </w:r>
            <w:r w:rsidR="00BE7DFF" w:rsidRPr="00746499">
              <w:rPr>
                <w:sz w:val="17"/>
                <w:szCs w:val="17"/>
              </w:rPr>
              <w:t>annual reports</w:t>
            </w:r>
          </w:p>
          <w:p w14:paraId="166235CA" w14:textId="77777777" w:rsidR="005555C4" w:rsidRPr="00746499" w:rsidRDefault="005555C4" w:rsidP="005555C4">
            <w:pPr>
              <w:rPr>
                <w:sz w:val="17"/>
                <w:szCs w:val="17"/>
              </w:rPr>
            </w:pPr>
          </w:p>
          <w:p w14:paraId="50B64027" w14:textId="77777777" w:rsidR="00A6622E" w:rsidRPr="00746499" w:rsidRDefault="00A6622E" w:rsidP="00A6622E">
            <w:pPr>
              <w:rPr>
                <w:sz w:val="17"/>
                <w:szCs w:val="17"/>
              </w:rPr>
            </w:pPr>
            <w:r w:rsidRPr="00746499">
              <w:rPr>
                <w:b/>
                <w:sz w:val="17"/>
                <w:szCs w:val="17"/>
              </w:rPr>
              <w:t>Indicator 1.1.3:</w:t>
            </w:r>
            <w:r w:rsidRPr="00746499">
              <w:rPr>
                <w:sz w:val="17"/>
                <w:szCs w:val="17"/>
              </w:rPr>
              <w:t xml:space="preserve"> State Register of Voters contains minimum error through the interoperability with the main registers of population</w:t>
            </w:r>
          </w:p>
          <w:p w14:paraId="0366B8ED" w14:textId="77777777" w:rsidR="008F7B21" w:rsidRDefault="00A6622E" w:rsidP="00A6622E">
            <w:pPr>
              <w:rPr>
                <w:sz w:val="17"/>
                <w:szCs w:val="17"/>
              </w:rPr>
            </w:pPr>
            <w:r w:rsidRPr="00AB4715">
              <w:rPr>
                <w:b/>
                <w:sz w:val="17"/>
                <w:szCs w:val="17"/>
              </w:rPr>
              <w:t>Baseline</w:t>
            </w:r>
            <w:r w:rsidR="008F7B21">
              <w:rPr>
                <w:sz w:val="17"/>
                <w:szCs w:val="17"/>
              </w:rPr>
              <w:t xml:space="preserve"> (2016): No</w:t>
            </w:r>
          </w:p>
          <w:p w14:paraId="7AC7FF3B" w14:textId="6792BCED" w:rsidR="00A6622E" w:rsidRPr="00746499" w:rsidRDefault="00A6622E" w:rsidP="00A6622E">
            <w:pPr>
              <w:rPr>
                <w:sz w:val="17"/>
                <w:szCs w:val="17"/>
              </w:rPr>
            </w:pPr>
            <w:r w:rsidRPr="008F7B21">
              <w:rPr>
                <w:b/>
                <w:sz w:val="17"/>
                <w:szCs w:val="17"/>
              </w:rPr>
              <w:t>Target</w:t>
            </w:r>
            <w:r w:rsidRPr="00746499">
              <w:rPr>
                <w:sz w:val="17"/>
                <w:szCs w:val="17"/>
              </w:rPr>
              <w:t>: Yes</w:t>
            </w:r>
          </w:p>
          <w:p w14:paraId="65976188" w14:textId="47A07EC9" w:rsidR="00A6622E" w:rsidRPr="00746499" w:rsidRDefault="00A6622E" w:rsidP="00A6622E">
            <w:pPr>
              <w:rPr>
                <w:sz w:val="17"/>
                <w:szCs w:val="17"/>
              </w:rPr>
            </w:pPr>
            <w:r w:rsidRPr="008F7B21">
              <w:rPr>
                <w:b/>
                <w:sz w:val="17"/>
                <w:szCs w:val="17"/>
              </w:rPr>
              <w:t>Means of verification</w:t>
            </w:r>
            <w:r w:rsidRPr="00746499">
              <w:rPr>
                <w:sz w:val="17"/>
                <w:szCs w:val="17"/>
              </w:rPr>
              <w:t xml:space="preserve">: Central Election Commission </w:t>
            </w:r>
            <w:r w:rsidR="00BE7DFF" w:rsidRPr="00746499">
              <w:rPr>
                <w:sz w:val="17"/>
                <w:szCs w:val="17"/>
              </w:rPr>
              <w:t>reports</w:t>
            </w:r>
          </w:p>
          <w:p w14:paraId="4FC69C7B" w14:textId="77777777" w:rsidR="00A6622E" w:rsidRPr="00746499" w:rsidRDefault="00A6622E" w:rsidP="005555C4">
            <w:pPr>
              <w:rPr>
                <w:sz w:val="17"/>
                <w:szCs w:val="17"/>
              </w:rPr>
            </w:pPr>
          </w:p>
          <w:p w14:paraId="116E0503" w14:textId="65CE66EB" w:rsidR="005555C4" w:rsidRPr="00746499" w:rsidRDefault="005555C4" w:rsidP="005555C4">
            <w:pPr>
              <w:rPr>
                <w:sz w:val="17"/>
                <w:szCs w:val="17"/>
                <w:lang w:val="en-GB"/>
              </w:rPr>
            </w:pPr>
            <w:r w:rsidRPr="00746499">
              <w:rPr>
                <w:b/>
                <w:sz w:val="17"/>
                <w:szCs w:val="17"/>
              </w:rPr>
              <w:t>OUTPUT 1.2:</w:t>
            </w:r>
            <w:r w:rsidRPr="00746499">
              <w:rPr>
                <w:rFonts w:eastAsia="Calibri"/>
                <w:sz w:val="17"/>
                <w:szCs w:val="17"/>
              </w:rPr>
              <w:t xml:space="preserve"> </w:t>
            </w:r>
            <w:r w:rsidRPr="00746499">
              <w:rPr>
                <w:b/>
                <w:sz w:val="17"/>
                <w:szCs w:val="17"/>
                <w:lang w:val="en-GB"/>
              </w:rPr>
              <w:t xml:space="preserve">Responsive, </w:t>
            </w:r>
            <w:r w:rsidR="00972E3D" w:rsidRPr="00746499">
              <w:rPr>
                <w:b/>
                <w:sz w:val="17"/>
                <w:szCs w:val="17"/>
                <w:lang w:val="en-GB"/>
              </w:rPr>
              <w:t>evidence-</w:t>
            </w:r>
            <w:r w:rsidRPr="00746499">
              <w:rPr>
                <w:b/>
                <w:sz w:val="17"/>
                <w:szCs w:val="17"/>
                <w:lang w:val="en-GB"/>
              </w:rPr>
              <w:t xml:space="preserve">based, human rights- and gender- mainstreamed policies and transparent, </w:t>
            </w:r>
            <w:r w:rsidR="00972E3D" w:rsidRPr="00746499">
              <w:rPr>
                <w:b/>
                <w:sz w:val="17"/>
                <w:szCs w:val="17"/>
                <w:lang w:val="en-GB"/>
              </w:rPr>
              <w:t>high-</w:t>
            </w:r>
            <w:r w:rsidRPr="00746499">
              <w:rPr>
                <w:b/>
                <w:sz w:val="17"/>
                <w:szCs w:val="17"/>
                <w:lang w:val="en-GB"/>
              </w:rPr>
              <w:t xml:space="preserve">integrity institutions </w:t>
            </w:r>
          </w:p>
          <w:p w14:paraId="44C2EDE6" w14:textId="77777777" w:rsidR="005555C4" w:rsidRPr="00746499" w:rsidRDefault="005555C4" w:rsidP="005555C4">
            <w:pPr>
              <w:rPr>
                <w:sz w:val="17"/>
                <w:szCs w:val="17"/>
                <w:lang w:val="en-GB"/>
              </w:rPr>
            </w:pPr>
          </w:p>
          <w:p w14:paraId="052D7809" w14:textId="77777777" w:rsidR="005555C4" w:rsidRPr="00746499" w:rsidRDefault="005555C4" w:rsidP="005555C4">
            <w:pPr>
              <w:rPr>
                <w:sz w:val="17"/>
                <w:szCs w:val="17"/>
              </w:rPr>
            </w:pPr>
            <w:r w:rsidRPr="00746499">
              <w:rPr>
                <w:b/>
                <w:iCs/>
                <w:color w:val="000000"/>
                <w:sz w:val="17"/>
                <w:szCs w:val="17"/>
                <w:lang w:val="en-GB"/>
              </w:rPr>
              <w:t>Indicator 1.2.1</w:t>
            </w:r>
            <w:r w:rsidRPr="00746499">
              <w:rPr>
                <w:iCs/>
                <w:color w:val="000000"/>
                <w:sz w:val="17"/>
                <w:szCs w:val="17"/>
                <w:lang w:val="en-GB"/>
              </w:rPr>
              <w:t xml:space="preserve">. </w:t>
            </w:r>
            <w:r w:rsidRPr="00746499">
              <w:rPr>
                <w:sz w:val="17"/>
                <w:szCs w:val="17"/>
              </w:rPr>
              <w:t xml:space="preserve">Number of </w:t>
            </w:r>
            <w:r w:rsidR="00B47241" w:rsidRPr="00746499">
              <w:rPr>
                <w:sz w:val="17"/>
                <w:szCs w:val="17"/>
              </w:rPr>
              <w:t xml:space="preserve">new </w:t>
            </w:r>
            <w:r w:rsidRPr="00746499">
              <w:rPr>
                <w:sz w:val="17"/>
                <w:szCs w:val="17"/>
              </w:rPr>
              <w:t xml:space="preserve">demonstration projects of civic engagement through innovative models scaled up by national partners </w:t>
            </w:r>
          </w:p>
          <w:p w14:paraId="3C629ED4" w14:textId="77777777" w:rsidR="005555C4" w:rsidRPr="00746499" w:rsidRDefault="005555C4" w:rsidP="005555C4">
            <w:pPr>
              <w:rPr>
                <w:iCs/>
                <w:color w:val="000000"/>
                <w:sz w:val="17"/>
                <w:szCs w:val="17"/>
                <w:lang w:val="en-GB"/>
              </w:rPr>
            </w:pPr>
            <w:r w:rsidRPr="00746499">
              <w:rPr>
                <w:b/>
                <w:iCs/>
                <w:color w:val="000000"/>
                <w:sz w:val="17"/>
                <w:szCs w:val="17"/>
                <w:lang w:val="en-GB"/>
              </w:rPr>
              <w:t>Baseline</w:t>
            </w:r>
            <w:r w:rsidRPr="00746499">
              <w:rPr>
                <w:iCs/>
                <w:color w:val="000000"/>
                <w:sz w:val="17"/>
                <w:szCs w:val="17"/>
                <w:lang w:val="en-GB"/>
              </w:rPr>
              <w:t xml:space="preserve"> 2016: 0</w:t>
            </w:r>
          </w:p>
          <w:p w14:paraId="2E73EF47" w14:textId="77777777" w:rsidR="005555C4" w:rsidRPr="00746499" w:rsidRDefault="005555C4" w:rsidP="005555C4">
            <w:pPr>
              <w:rPr>
                <w:iCs/>
                <w:color w:val="000000"/>
                <w:sz w:val="17"/>
                <w:szCs w:val="17"/>
                <w:lang w:val="en-GB"/>
              </w:rPr>
            </w:pPr>
            <w:r w:rsidRPr="00746499">
              <w:rPr>
                <w:b/>
                <w:iCs/>
                <w:color w:val="000000"/>
                <w:sz w:val="17"/>
                <w:szCs w:val="17"/>
                <w:lang w:val="en-GB"/>
              </w:rPr>
              <w:t>Target 2022:</w:t>
            </w:r>
            <w:r w:rsidRPr="00746499">
              <w:rPr>
                <w:iCs/>
                <w:color w:val="000000"/>
                <w:sz w:val="17"/>
                <w:szCs w:val="17"/>
                <w:lang w:val="en-GB"/>
              </w:rPr>
              <w:t xml:space="preserve"> 2 </w:t>
            </w:r>
            <w:r w:rsidR="001972EB" w:rsidRPr="00746499">
              <w:rPr>
                <w:iCs/>
                <w:color w:val="000000"/>
                <w:sz w:val="17"/>
                <w:szCs w:val="17"/>
                <w:lang w:val="en-GB"/>
              </w:rPr>
              <w:t>innovative</w:t>
            </w:r>
            <w:r w:rsidRPr="00746499">
              <w:rPr>
                <w:iCs/>
                <w:color w:val="000000"/>
                <w:sz w:val="17"/>
                <w:szCs w:val="17"/>
                <w:lang w:val="en-GB"/>
              </w:rPr>
              <w:t xml:space="preserve"> projects </w:t>
            </w:r>
          </w:p>
          <w:p w14:paraId="30AF3C7A" w14:textId="77777777" w:rsidR="005555C4" w:rsidRPr="00746499" w:rsidRDefault="005555C4" w:rsidP="005555C4">
            <w:pPr>
              <w:rPr>
                <w:iCs/>
                <w:color w:val="000000"/>
                <w:sz w:val="17"/>
                <w:szCs w:val="17"/>
                <w:lang w:val="en-GB"/>
              </w:rPr>
            </w:pPr>
            <w:r w:rsidRPr="00746499">
              <w:rPr>
                <w:b/>
                <w:iCs/>
                <w:color w:val="000000"/>
                <w:sz w:val="17"/>
                <w:szCs w:val="17"/>
                <w:lang w:val="en-GB"/>
              </w:rPr>
              <w:t>Means of verification:</w:t>
            </w:r>
            <w:r w:rsidRPr="00746499">
              <w:rPr>
                <w:iCs/>
                <w:color w:val="000000"/>
                <w:sz w:val="17"/>
                <w:szCs w:val="17"/>
                <w:lang w:val="en-GB"/>
              </w:rPr>
              <w:t xml:space="preserve"> UNDP reports</w:t>
            </w:r>
          </w:p>
          <w:p w14:paraId="4DAFEB50" w14:textId="77777777" w:rsidR="005555C4" w:rsidRPr="00746499" w:rsidRDefault="005555C4" w:rsidP="005555C4">
            <w:pPr>
              <w:rPr>
                <w:iCs/>
                <w:color w:val="000000"/>
                <w:sz w:val="17"/>
                <w:szCs w:val="17"/>
              </w:rPr>
            </w:pPr>
          </w:p>
          <w:p w14:paraId="70E3317A" w14:textId="3A4F2BA6" w:rsidR="005555C4" w:rsidRPr="00746499" w:rsidRDefault="005555C4" w:rsidP="005555C4">
            <w:pPr>
              <w:rPr>
                <w:rFonts w:eastAsia="Calibri"/>
                <w:sz w:val="17"/>
                <w:szCs w:val="17"/>
                <w:lang w:val="en-GB"/>
              </w:rPr>
            </w:pPr>
            <w:r w:rsidRPr="00746499">
              <w:rPr>
                <w:rFonts w:eastAsia="Calibri"/>
                <w:b/>
                <w:sz w:val="17"/>
                <w:szCs w:val="17"/>
                <w:lang w:val="en-GB"/>
              </w:rPr>
              <w:t>Indicator 1.2.2</w:t>
            </w:r>
            <w:r w:rsidRPr="00746499">
              <w:rPr>
                <w:rFonts w:eastAsia="Calibri"/>
                <w:sz w:val="17"/>
                <w:szCs w:val="17"/>
                <w:lang w:val="en-GB"/>
              </w:rPr>
              <w:t>: Proportion of</w:t>
            </w:r>
            <w:r w:rsidR="00F94C26" w:rsidRPr="00746499">
              <w:rPr>
                <w:rFonts w:eastAsia="Calibri"/>
                <w:sz w:val="17"/>
                <w:szCs w:val="17"/>
                <w:lang w:val="en-GB"/>
              </w:rPr>
              <w:t xml:space="preserve"> availability of nationally produced </w:t>
            </w:r>
            <w:r w:rsidR="00972E3D" w:rsidRPr="00746499">
              <w:rPr>
                <w:rFonts w:eastAsia="Calibri"/>
                <w:sz w:val="17"/>
                <w:szCs w:val="17"/>
                <w:lang w:val="en-GB"/>
              </w:rPr>
              <w:t xml:space="preserve">Sustainable Development Goal </w:t>
            </w:r>
            <w:r w:rsidR="00F94C26" w:rsidRPr="00746499">
              <w:rPr>
                <w:rFonts w:eastAsia="Calibri"/>
                <w:sz w:val="17"/>
                <w:szCs w:val="17"/>
                <w:lang w:val="en-GB"/>
              </w:rPr>
              <w:t>indicators</w:t>
            </w:r>
            <w:r w:rsidRPr="00746499">
              <w:rPr>
                <w:rFonts w:eastAsia="Calibri"/>
                <w:sz w:val="17"/>
                <w:szCs w:val="17"/>
                <w:lang w:val="en-GB"/>
              </w:rPr>
              <w:t xml:space="preserve"> with full disaggregation relevant to the national target</w:t>
            </w:r>
          </w:p>
          <w:p w14:paraId="56EE1838" w14:textId="0A4A56D3" w:rsidR="005555C4" w:rsidRPr="00746499" w:rsidRDefault="005555C4" w:rsidP="005555C4">
            <w:pPr>
              <w:rPr>
                <w:sz w:val="17"/>
                <w:szCs w:val="17"/>
                <w:lang w:val="en-GB"/>
              </w:rPr>
            </w:pPr>
            <w:r w:rsidRPr="00746499">
              <w:rPr>
                <w:b/>
                <w:sz w:val="17"/>
                <w:szCs w:val="17"/>
                <w:lang w:val="en-GB"/>
              </w:rPr>
              <w:t xml:space="preserve">Baseline </w:t>
            </w:r>
            <w:r w:rsidRPr="00746499">
              <w:rPr>
                <w:sz w:val="17"/>
                <w:szCs w:val="17"/>
                <w:lang w:val="en-GB"/>
              </w:rPr>
              <w:t>(2016)</w:t>
            </w:r>
            <w:r w:rsidRPr="00746499">
              <w:rPr>
                <w:rStyle w:val="FootnoteReference"/>
                <w:sz w:val="17"/>
                <w:szCs w:val="17"/>
                <w:lang w:val="en-GB"/>
              </w:rPr>
              <w:footnoteReference w:id="20"/>
            </w:r>
            <w:r w:rsidRPr="00746499">
              <w:rPr>
                <w:sz w:val="17"/>
                <w:szCs w:val="17"/>
                <w:lang w:val="en-GB"/>
              </w:rPr>
              <w:t xml:space="preserve">: Disaggregated data are available for 35% of global indicators, partially available for 15% </w:t>
            </w:r>
          </w:p>
          <w:p w14:paraId="072402C6" w14:textId="77777777" w:rsidR="005555C4" w:rsidRPr="00746499" w:rsidRDefault="005555C4" w:rsidP="005555C4">
            <w:pPr>
              <w:rPr>
                <w:sz w:val="17"/>
                <w:szCs w:val="17"/>
                <w:lang w:val="en-GB"/>
              </w:rPr>
            </w:pPr>
            <w:r w:rsidRPr="00746499">
              <w:rPr>
                <w:b/>
                <w:sz w:val="17"/>
                <w:szCs w:val="17"/>
                <w:lang w:val="en-GB"/>
              </w:rPr>
              <w:t>Target</w:t>
            </w:r>
            <w:r w:rsidRPr="00746499">
              <w:rPr>
                <w:sz w:val="17"/>
                <w:szCs w:val="17"/>
                <w:lang w:val="en-GB"/>
              </w:rPr>
              <w:t xml:space="preserve"> (2022): 45% available, 30% partially available</w:t>
            </w:r>
          </w:p>
          <w:p w14:paraId="0B8B2506" w14:textId="77777777" w:rsidR="005555C4" w:rsidRPr="00746499" w:rsidRDefault="005555C4" w:rsidP="005555C4">
            <w:pPr>
              <w:rPr>
                <w:bCs/>
                <w:color w:val="000000"/>
                <w:sz w:val="17"/>
                <w:szCs w:val="17"/>
                <w:lang w:val="en-GB"/>
              </w:rPr>
            </w:pPr>
            <w:r w:rsidRPr="00746499">
              <w:rPr>
                <w:b/>
                <w:bCs/>
                <w:color w:val="000000"/>
                <w:sz w:val="17"/>
                <w:szCs w:val="17"/>
                <w:lang w:val="en-GB"/>
              </w:rPr>
              <w:t>Means of verification</w:t>
            </w:r>
            <w:r w:rsidRPr="00746499">
              <w:rPr>
                <w:bCs/>
                <w:color w:val="000000"/>
                <w:sz w:val="17"/>
                <w:szCs w:val="17"/>
                <w:lang w:val="en-GB"/>
              </w:rPr>
              <w:t xml:space="preserve">: National Bureau of Statistics </w:t>
            </w:r>
          </w:p>
          <w:p w14:paraId="74180868" w14:textId="77777777" w:rsidR="005555C4" w:rsidRPr="00746499" w:rsidRDefault="005555C4" w:rsidP="005555C4">
            <w:pPr>
              <w:rPr>
                <w:b/>
                <w:bCs/>
                <w:color w:val="000000"/>
                <w:sz w:val="17"/>
                <w:szCs w:val="17"/>
                <w:lang w:val="en-GB"/>
              </w:rPr>
            </w:pPr>
          </w:p>
          <w:p w14:paraId="59076495" w14:textId="77777777" w:rsidR="005555C4" w:rsidRPr="00746499" w:rsidRDefault="005555C4" w:rsidP="005555C4">
            <w:pPr>
              <w:rPr>
                <w:sz w:val="17"/>
                <w:szCs w:val="17"/>
                <w:lang w:val="en-GB"/>
              </w:rPr>
            </w:pPr>
            <w:r w:rsidRPr="00746499">
              <w:rPr>
                <w:b/>
                <w:bCs/>
                <w:color w:val="000000"/>
                <w:sz w:val="17"/>
                <w:szCs w:val="17"/>
                <w:lang w:val="en-GB"/>
              </w:rPr>
              <w:t xml:space="preserve">Indicator 1.2.3: </w:t>
            </w:r>
            <w:r w:rsidRPr="00746499">
              <w:rPr>
                <w:sz w:val="17"/>
                <w:szCs w:val="17"/>
                <w:lang w:val="en-GB"/>
              </w:rPr>
              <w:t xml:space="preserve">Number of </w:t>
            </w:r>
            <w:r w:rsidR="001972EB" w:rsidRPr="00746499">
              <w:rPr>
                <w:sz w:val="17"/>
                <w:szCs w:val="17"/>
                <w:lang w:val="en-GB"/>
              </w:rPr>
              <w:t xml:space="preserve">new </w:t>
            </w:r>
            <w:r w:rsidRPr="00746499">
              <w:rPr>
                <w:sz w:val="17"/>
                <w:szCs w:val="17"/>
                <w:lang w:val="en-GB"/>
              </w:rPr>
              <w:t>gender and human-rights mainstreamed policies</w:t>
            </w:r>
          </w:p>
          <w:p w14:paraId="0BAA8A10" w14:textId="77777777" w:rsidR="005555C4" w:rsidRPr="00746499" w:rsidRDefault="005555C4" w:rsidP="005555C4">
            <w:pPr>
              <w:rPr>
                <w:sz w:val="17"/>
                <w:szCs w:val="17"/>
                <w:lang w:val="en-GB"/>
              </w:rPr>
            </w:pPr>
            <w:r w:rsidRPr="00AB4715">
              <w:rPr>
                <w:b/>
                <w:sz w:val="17"/>
                <w:szCs w:val="17"/>
                <w:lang w:val="en-GB"/>
              </w:rPr>
              <w:t>Baseline</w:t>
            </w:r>
            <w:r w:rsidRPr="00746499">
              <w:rPr>
                <w:sz w:val="17"/>
                <w:szCs w:val="17"/>
                <w:lang w:val="en-GB"/>
              </w:rPr>
              <w:t xml:space="preserve"> 2017: 2 (Decentralization and Employment Strategy)</w:t>
            </w:r>
          </w:p>
          <w:p w14:paraId="64E67046" w14:textId="77777777" w:rsidR="00AB4715" w:rsidRDefault="005555C4" w:rsidP="005555C4">
            <w:pPr>
              <w:rPr>
                <w:sz w:val="17"/>
                <w:szCs w:val="17"/>
                <w:lang w:val="en-GB"/>
              </w:rPr>
            </w:pPr>
            <w:r w:rsidRPr="00AB4715">
              <w:rPr>
                <w:b/>
                <w:sz w:val="17"/>
                <w:szCs w:val="17"/>
                <w:lang w:val="en-GB"/>
              </w:rPr>
              <w:t>Target</w:t>
            </w:r>
            <w:r w:rsidRPr="00746499">
              <w:rPr>
                <w:sz w:val="17"/>
                <w:szCs w:val="17"/>
                <w:lang w:val="en-GB"/>
              </w:rPr>
              <w:t xml:space="preserve"> 2022: 5</w:t>
            </w:r>
          </w:p>
          <w:p w14:paraId="287F4ACD" w14:textId="776E223D" w:rsidR="005555C4" w:rsidRPr="00746499" w:rsidRDefault="005555C4" w:rsidP="005555C4">
            <w:pPr>
              <w:rPr>
                <w:sz w:val="17"/>
                <w:szCs w:val="17"/>
                <w:lang w:val="en-GB"/>
              </w:rPr>
            </w:pPr>
            <w:r w:rsidRPr="00AB4715">
              <w:rPr>
                <w:b/>
                <w:sz w:val="17"/>
                <w:szCs w:val="17"/>
                <w:lang w:val="en-GB"/>
              </w:rPr>
              <w:t>Means of verification</w:t>
            </w:r>
            <w:r w:rsidRPr="00746499">
              <w:rPr>
                <w:sz w:val="17"/>
                <w:szCs w:val="17"/>
                <w:lang w:val="en-GB"/>
              </w:rPr>
              <w:t>: UNDP reports</w:t>
            </w:r>
          </w:p>
          <w:p w14:paraId="36655CC9" w14:textId="77777777" w:rsidR="005555C4" w:rsidRPr="00746499" w:rsidRDefault="005555C4" w:rsidP="005555C4">
            <w:pPr>
              <w:rPr>
                <w:bCs/>
                <w:color w:val="000000"/>
                <w:sz w:val="17"/>
                <w:szCs w:val="17"/>
                <w:lang w:val="en-GB"/>
              </w:rPr>
            </w:pPr>
          </w:p>
          <w:p w14:paraId="69A55B57" w14:textId="73E4B259" w:rsidR="005555C4" w:rsidRPr="00746499" w:rsidRDefault="005555C4" w:rsidP="005555C4">
            <w:pPr>
              <w:rPr>
                <w:bCs/>
                <w:color w:val="000000"/>
                <w:sz w:val="17"/>
                <w:szCs w:val="17"/>
                <w:lang w:val="en-GB"/>
              </w:rPr>
            </w:pPr>
            <w:r w:rsidRPr="00746499">
              <w:rPr>
                <w:b/>
                <w:bCs/>
                <w:color w:val="000000"/>
                <w:sz w:val="17"/>
                <w:szCs w:val="17"/>
                <w:lang w:val="en-GB"/>
              </w:rPr>
              <w:t>Indicator 1.2.4</w:t>
            </w:r>
            <w:r w:rsidRPr="00746499">
              <w:rPr>
                <w:bCs/>
                <w:color w:val="000000"/>
                <w:sz w:val="17"/>
                <w:szCs w:val="17"/>
                <w:lang w:val="en-GB"/>
              </w:rPr>
              <w:t>: Share of the implemented actions from the National Anti</w:t>
            </w:r>
            <w:r w:rsidR="00BE7DFF" w:rsidRPr="00746499">
              <w:rPr>
                <w:bCs/>
                <w:color w:val="000000"/>
                <w:sz w:val="17"/>
                <w:szCs w:val="17"/>
                <w:lang w:val="en-GB"/>
              </w:rPr>
              <w:t>-</w:t>
            </w:r>
            <w:r w:rsidRPr="00746499">
              <w:rPr>
                <w:bCs/>
                <w:color w:val="000000"/>
                <w:sz w:val="17"/>
                <w:szCs w:val="17"/>
                <w:lang w:val="en-GB"/>
              </w:rPr>
              <w:t>corruption Strategy (2017–2020)</w:t>
            </w:r>
          </w:p>
          <w:p w14:paraId="07AE0E06" w14:textId="77777777" w:rsidR="005555C4" w:rsidRPr="00746499" w:rsidRDefault="005555C4" w:rsidP="005555C4">
            <w:pPr>
              <w:rPr>
                <w:bCs/>
                <w:sz w:val="17"/>
                <w:szCs w:val="17"/>
                <w:lang w:val="en-GB"/>
              </w:rPr>
            </w:pPr>
            <w:r w:rsidRPr="00746499">
              <w:rPr>
                <w:b/>
                <w:bCs/>
                <w:color w:val="000000"/>
                <w:sz w:val="17"/>
                <w:szCs w:val="17"/>
                <w:lang w:val="en-GB"/>
              </w:rPr>
              <w:t xml:space="preserve">Baseline </w:t>
            </w:r>
            <w:r w:rsidRPr="00746499">
              <w:rPr>
                <w:bCs/>
                <w:color w:val="000000"/>
                <w:sz w:val="17"/>
                <w:szCs w:val="17"/>
                <w:lang w:val="en-GB"/>
              </w:rPr>
              <w:t>(2016</w:t>
            </w:r>
            <w:r w:rsidRPr="00746499">
              <w:rPr>
                <w:bCs/>
                <w:sz w:val="17"/>
                <w:szCs w:val="17"/>
                <w:lang w:val="en-GB"/>
              </w:rPr>
              <w:t xml:space="preserve">): 0% </w:t>
            </w:r>
          </w:p>
          <w:p w14:paraId="3B5CA17F" w14:textId="77777777" w:rsidR="005555C4" w:rsidRPr="00746499" w:rsidRDefault="005555C4" w:rsidP="005555C4">
            <w:pPr>
              <w:rPr>
                <w:bCs/>
                <w:sz w:val="17"/>
                <w:szCs w:val="17"/>
                <w:lang w:val="en-GB"/>
              </w:rPr>
            </w:pPr>
            <w:r w:rsidRPr="00746499">
              <w:rPr>
                <w:b/>
                <w:bCs/>
                <w:sz w:val="17"/>
                <w:szCs w:val="17"/>
                <w:lang w:val="en-GB"/>
              </w:rPr>
              <w:t>Target:</w:t>
            </w:r>
            <w:r w:rsidRPr="00746499">
              <w:rPr>
                <w:bCs/>
                <w:sz w:val="17"/>
                <w:szCs w:val="17"/>
                <w:lang w:val="en-GB"/>
              </w:rPr>
              <w:t xml:space="preserve"> 70%</w:t>
            </w:r>
          </w:p>
          <w:p w14:paraId="6BAC4A25" w14:textId="279AE676" w:rsidR="005555C4" w:rsidRPr="00746499" w:rsidRDefault="005555C4" w:rsidP="005555C4">
            <w:pPr>
              <w:rPr>
                <w:bCs/>
                <w:color w:val="000000"/>
                <w:sz w:val="17"/>
                <w:szCs w:val="17"/>
                <w:lang w:val="en-GB"/>
              </w:rPr>
            </w:pPr>
            <w:r w:rsidRPr="00746499">
              <w:rPr>
                <w:b/>
                <w:sz w:val="17"/>
                <w:szCs w:val="17"/>
              </w:rPr>
              <w:t>Means of verification:</w:t>
            </w:r>
            <w:r w:rsidRPr="00746499">
              <w:rPr>
                <w:b/>
                <w:bCs/>
                <w:sz w:val="17"/>
                <w:szCs w:val="17"/>
                <w:lang w:val="en-GB"/>
              </w:rPr>
              <w:t xml:space="preserve"> </w:t>
            </w:r>
            <w:r w:rsidRPr="00746499">
              <w:rPr>
                <w:bCs/>
                <w:sz w:val="17"/>
                <w:szCs w:val="17"/>
                <w:lang w:val="en-GB"/>
              </w:rPr>
              <w:t>National Anti</w:t>
            </w:r>
            <w:r w:rsidR="00BE7DFF" w:rsidRPr="00746499">
              <w:rPr>
                <w:bCs/>
                <w:sz w:val="17"/>
                <w:szCs w:val="17"/>
                <w:lang w:val="en-GB"/>
              </w:rPr>
              <w:t>-</w:t>
            </w:r>
            <w:r w:rsidRPr="00746499">
              <w:rPr>
                <w:bCs/>
                <w:sz w:val="17"/>
                <w:szCs w:val="17"/>
                <w:lang w:val="en-GB"/>
              </w:rPr>
              <w:t xml:space="preserve">corruption Centre </w:t>
            </w:r>
            <w:r w:rsidRPr="00746499">
              <w:rPr>
                <w:bCs/>
                <w:color w:val="000000"/>
                <w:sz w:val="17"/>
                <w:szCs w:val="17"/>
                <w:lang w:val="en-GB"/>
              </w:rPr>
              <w:t xml:space="preserve">reports </w:t>
            </w:r>
          </w:p>
          <w:p w14:paraId="4BA55272" w14:textId="77777777" w:rsidR="005555C4" w:rsidRPr="00746499" w:rsidRDefault="005555C4" w:rsidP="005555C4">
            <w:pPr>
              <w:rPr>
                <w:b/>
                <w:bCs/>
                <w:color w:val="000000"/>
                <w:sz w:val="17"/>
                <w:szCs w:val="17"/>
                <w:lang w:val="en-GB"/>
              </w:rPr>
            </w:pPr>
          </w:p>
          <w:p w14:paraId="2058B390" w14:textId="77777777" w:rsidR="005555C4" w:rsidRPr="00746499" w:rsidRDefault="005555C4" w:rsidP="005555C4">
            <w:pPr>
              <w:rPr>
                <w:rFonts w:eastAsia="Calibri"/>
                <w:sz w:val="17"/>
                <w:szCs w:val="17"/>
              </w:rPr>
            </w:pPr>
            <w:r w:rsidRPr="00746499">
              <w:rPr>
                <w:rFonts w:eastAsia="Calibri"/>
                <w:b/>
                <w:sz w:val="17"/>
                <w:szCs w:val="17"/>
                <w:lang w:val="en-GB"/>
              </w:rPr>
              <w:t>Output 1.3: Enhanced representation of women in decision-making positions, with particular focus on Roma</w:t>
            </w:r>
            <w:r w:rsidR="00D51B79" w:rsidRPr="00746499">
              <w:rPr>
                <w:rStyle w:val="FootnoteReference"/>
                <w:rFonts w:eastAsia="Calibri"/>
                <w:b/>
                <w:sz w:val="17"/>
                <w:szCs w:val="17"/>
                <w:lang w:val="en-GB"/>
              </w:rPr>
              <w:footnoteReference w:id="21"/>
            </w:r>
            <w:r w:rsidRPr="00746499">
              <w:rPr>
                <w:rFonts w:eastAsia="Calibri"/>
                <w:b/>
                <w:sz w:val="17"/>
                <w:szCs w:val="17"/>
                <w:lang w:val="en-GB"/>
              </w:rPr>
              <w:t xml:space="preserve"> and young women</w:t>
            </w:r>
          </w:p>
          <w:p w14:paraId="05ED4E1E" w14:textId="77777777" w:rsidR="005555C4" w:rsidRPr="00746499" w:rsidRDefault="005555C4" w:rsidP="005555C4">
            <w:pPr>
              <w:rPr>
                <w:bCs/>
                <w:color w:val="000000"/>
                <w:sz w:val="17"/>
                <w:szCs w:val="17"/>
                <w:lang w:val="en-GB"/>
              </w:rPr>
            </w:pPr>
          </w:p>
          <w:p w14:paraId="7BDA8E37" w14:textId="732CCF7D" w:rsidR="005555C4" w:rsidRPr="00746499" w:rsidRDefault="005555C4" w:rsidP="005555C4">
            <w:pPr>
              <w:rPr>
                <w:bCs/>
                <w:color w:val="000000"/>
                <w:sz w:val="17"/>
                <w:szCs w:val="17"/>
                <w:lang w:val="en-GB"/>
              </w:rPr>
            </w:pPr>
            <w:r w:rsidRPr="00746499">
              <w:rPr>
                <w:b/>
                <w:bCs/>
                <w:color w:val="000000"/>
                <w:sz w:val="17"/>
                <w:szCs w:val="17"/>
                <w:lang w:val="en-GB"/>
              </w:rPr>
              <w:t>Indicator 1.3.1</w:t>
            </w:r>
            <w:r w:rsidRPr="00746499">
              <w:rPr>
                <w:bCs/>
                <w:color w:val="000000"/>
                <w:sz w:val="17"/>
                <w:szCs w:val="17"/>
                <w:lang w:val="en-GB"/>
              </w:rPr>
              <w:t xml:space="preserve"> Number of women, including</w:t>
            </w:r>
            <w:r w:rsidR="001972EB" w:rsidRPr="00746499">
              <w:rPr>
                <w:bCs/>
                <w:color w:val="000000"/>
                <w:sz w:val="17"/>
                <w:szCs w:val="17"/>
                <w:lang w:val="en-GB"/>
              </w:rPr>
              <w:t xml:space="preserve"> share of young </w:t>
            </w:r>
            <w:r w:rsidR="005108DA" w:rsidRPr="00746499">
              <w:rPr>
                <w:bCs/>
                <w:color w:val="000000"/>
                <w:sz w:val="17"/>
                <w:szCs w:val="17"/>
                <w:lang w:val="en-GB"/>
              </w:rPr>
              <w:t>and Roma</w:t>
            </w:r>
            <w:r w:rsidRPr="00746499">
              <w:rPr>
                <w:bCs/>
                <w:color w:val="000000"/>
                <w:sz w:val="17"/>
                <w:szCs w:val="17"/>
                <w:lang w:val="en-GB"/>
              </w:rPr>
              <w:t xml:space="preserve"> women, benefiting from private and/or public measures to support women in leadership</w:t>
            </w:r>
            <w:r w:rsidR="005108DA" w:rsidRPr="00746499">
              <w:rPr>
                <w:rStyle w:val="FootnoteReference"/>
                <w:bCs/>
                <w:color w:val="000000"/>
                <w:sz w:val="17"/>
                <w:szCs w:val="17"/>
                <w:lang w:val="en-GB"/>
              </w:rPr>
              <w:footnoteReference w:id="22"/>
            </w:r>
          </w:p>
          <w:p w14:paraId="0A8ED277" w14:textId="77777777" w:rsidR="005555C4" w:rsidRPr="00746499" w:rsidRDefault="005555C4" w:rsidP="005555C4">
            <w:pPr>
              <w:rPr>
                <w:bCs/>
                <w:color w:val="000000"/>
                <w:sz w:val="17"/>
                <w:szCs w:val="17"/>
                <w:lang w:val="en-GB"/>
              </w:rPr>
            </w:pPr>
            <w:r w:rsidRPr="00746499">
              <w:rPr>
                <w:b/>
                <w:bCs/>
                <w:color w:val="000000"/>
                <w:sz w:val="17"/>
                <w:szCs w:val="17"/>
                <w:lang w:val="en-GB"/>
              </w:rPr>
              <w:t>Baseline</w:t>
            </w:r>
            <w:r w:rsidRPr="00746499">
              <w:rPr>
                <w:bCs/>
                <w:color w:val="000000"/>
                <w:sz w:val="17"/>
                <w:szCs w:val="17"/>
                <w:lang w:val="en-GB"/>
              </w:rPr>
              <w:t xml:space="preserve"> (2016): 812/15%young women/1%Roma women </w:t>
            </w:r>
          </w:p>
          <w:p w14:paraId="242CC3B9" w14:textId="77777777" w:rsidR="005555C4" w:rsidRPr="00746499" w:rsidRDefault="005555C4" w:rsidP="005555C4">
            <w:pPr>
              <w:rPr>
                <w:bCs/>
                <w:color w:val="000000"/>
                <w:sz w:val="17"/>
                <w:szCs w:val="17"/>
                <w:lang w:val="en-GB"/>
              </w:rPr>
            </w:pPr>
            <w:r w:rsidRPr="00746499">
              <w:rPr>
                <w:b/>
                <w:bCs/>
                <w:color w:val="000000"/>
                <w:sz w:val="17"/>
                <w:szCs w:val="17"/>
                <w:lang w:val="en-GB"/>
              </w:rPr>
              <w:t>Target (2022)</w:t>
            </w:r>
            <w:r w:rsidRPr="00746499">
              <w:rPr>
                <w:bCs/>
                <w:color w:val="000000"/>
                <w:sz w:val="17"/>
                <w:szCs w:val="17"/>
                <w:lang w:val="en-GB"/>
              </w:rPr>
              <w:t>: 2000/30%/5%</w:t>
            </w:r>
          </w:p>
          <w:p w14:paraId="645D554A" w14:textId="45E24680" w:rsidR="005555C4" w:rsidRPr="00746499" w:rsidRDefault="005555C4" w:rsidP="005555C4">
            <w:pPr>
              <w:rPr>
                <w:sz w:val="17"/>
                <w:szCs w:val="17"/>
              </w:rPr>
            </w:pPr>
            <w:r w:rsidRPr="00746499">
              <w:rPr>
                <w:b/>
                <w:sz w:val="17"/>
                <w:szCs w:val="17"/>
              </w:rPr>
              <w:t>Means of verification:</w:t>
            </w:r>
            <w:r w:rsidRPr="00746499">
              <w:rPr>
                <w:sz w:val="17"/>
                <w:szCs w:val="17"/>
              </w:rPr>
              <w:t xml:space="preserve"> Civil society reports</w:t>
            </w:r>
          </w:p>
          <w:p w14:paraId="6B9DE3DA" w14:textId="77777777" w:rsidR="005555C4" w:rsidRPr="00746499" w:rsidRDefault="005555C4" w:rsidP="005555C4">
            <w:pPr>
              <w:rPr>
                <w:sz w:val="17"/>
                <w:szCs w:val="17"/>
              </w:rPr>
            </w:pPr>
          </w:p>
          <w:p w14:paraId="233B1896" w14:textId="77777777" w:rsidR="005555C4" w:rsidRPr="00746499" w:rsidRDefault="005555C4" w:rsidP="005555C4">
            <w:pPr>
              <w:rPr>
                <w:bCs/>
                <w:color w:val="000000"/>
                <w:sz w:val="17"/>
                <w:szCs w:val="17"/>
                <w:lang w:val="en-GB"/>
              </w:rPr>
            </w:pPr>
            <w:r w:rsidRPr="00746499">
              <w:rPr>
                <w:b/>
                <w:bCs/>
                <w:color w:val="000000"/>
                <w:sz w:val="17"/>
                <w:szCs w:val="17"/>
                <w:lang w:val="en-GB"/>
              </w:rPr>
              <w:lastRenderedPageBreak/>
              <w:t>Indicator 1.3.2 Quota law including gender placement provision</w:t>
            </w:r>
            <w:r w:rsidRPr="00746499">
              <w:rPr>
                <w:bCs/>
                <w:color w:val="FF0000"/>
                <w:sz w:val="17"/>
                <w:szCs w:val="17"/>
                <w:lang w:val="en-GB"/>
              </w:rPr>
              <w:t xml:space="preserve"> </w:t>
            </w:r>
          </w:p>
          <w:p w14:paraId="2D2AE5AB" w14:textId="77777777" w:rsidR="005555C4" w:rsidRPr="00746499" w:rsidRDefault="005555C4" w:rsidP="005555C4">
            <w:pPr>
              <w:rPr>
                <w:bCs/>
                <w:color w:val="000000"/>
                <w:sz w:val="17"/>
                <w:szCs w:val="17"/>
                <w:lang w:val="en-GB"/>
              </w:rPr>
            </w:pPr>
            <w:r w:rsidRPr="00746499">
              <w:rPr>
                <w:b/>
                <w:bCs/>
                <w:color w:val="000000"/>
                <w:sz w:val="17"/>
                <w:szCs w:val="17"/>
                <w:lang w:val="en-GB"/>
              </w:rPr>
              <w:t>Baseline</w:t>
            </w:r>
            <w:r w:rsidRPr="00746499">
              <w:rPr>
                <w:bCs/>
                <w:color w:val="000000"/>
                <w:sz w:val="17"/>
                <w:szCs w:val="17"/>
                <w:lang w:val="en-GB"/>
              </w:rPr>
              <w:t xml:space="preserve"> (2016): No</w:t>
            </w:r>
          </w:p>
          <w:p w14:paraId="61B9AD48" w14:textId="77777777" w:rsidR="005555C4" w:rsidRPr="00746499" w:rsidRDefault="005555C4" w:rsidP="005555C4">
            <w:pPr>
              <w:rPr>
                <w:bCs/>
                <w:color w:val="000000"/>
                <w:sz w:val="17"/>
                <w:szCs w:val="17"/>
                <w:lang w:val="en-GB"/>
              </w:rPr>
            </w:pPr>
            <w:r w:rsidRPr="00746499">
              <w:rPr>
                <w:b/>
                <w:bCs/>
                <w:color w:val="000000"/>
                <w:sz w:val="17"/>
                <w:szCs w:val="17"/>
                <w:lang w:val="en-GB"/>
              </w:rPr>
              <w:t>Target</w:t>
            </w:r>
            <w:r w:rsidRPr="00746499">
              <w:rPr>
                <w:bCs/>
                <w:color w:val="000000"/>
                <w:sz w:val="17"/>
                <w:szCs w:val="17"/>
                <w:lang w:val="en-GB"/>
              </w:rPr>
              <w:t xml:space="preserve">: Yes </w:t>
            </w:r>
          </w:p>
          <w:p w14:paraId="2B398D08" w14:textId="2291AE7E" w:rsidR="005555C4" w:rsidRPr="00746499" w:rsidRDefault="005555C4" w:rsidP="005555C4">
            <w:pPr>
              <w:rPr>
                <w:bCs/>
                <w:color w:val="000000"/>
                <w:sz w:val="17"/>
                <w:szCs w:val="17"/>
                <w:lang w:val="en-GB"/>
              </w:rPr>
            </w:pPr>
            <w:r w:rsidRPr="00746499">
              <w:rPr>
                <w:b/>
                <w:sz w:val="17"/>
                <w:szCs w:val="17"/>
              </w:rPr>
              <w:t>Means of verification:</w:t>
            </w:r>
            <w:r w:rsidRPr="00746499">
              <w:rPr>
                <w:sz w:val="17"/>
                <w:szCs w:val="17"/>
              </w:rPr>
              <w:t xml:space="preserve"> Legislation database</w:t>
            </w:r>
          </w:p>
        </w:tc>
        <w:tc>
          <w:tcPr>
            <w:tcW w:w="774" w:type="pct"/>
            <w:gridSpan w:val="2"/>
            <w:vMerge w:val="restart"/>
          </w:tcPr>
          <w:p w14:paraId="59E438A2" w14:textId="77777777" w:rsidR="005555C4" w:rsidRPr="00746499" w:rsidRDefault="005555C4" w:rsidP="005555C4">
            <w:pPr>
              <w:rPr>
                <w:iCs/>
                <w:color w:val="000000"/>
                <w:sz w:val="17"/>
                <w:szCs w:val="17"/>
                <w:lang w:val="en-GB"/>
              </w:rPr>
            </w:pPr>
            <w:r w:rsidRPr="00746499">
              <w:rPr>
                <w:iCs/>
                <w:color w:val="000000"/>
                <w:sz w:val="17"/>
                <w:szCs w:val="17"/>
                <w:lang w:val="en-GB"/>
              </w:rPr>
              <w:lastRenderedPageBreak/>
              <w:t>Parliament</w:t>
            </w:r>
          </w:p>
          <w:p w14:paraId="235D78B1" w14:textId="77777777" w:rsidR="005555C4" w:rsidRPr="00746499" w:rsidRDefault="005555C4" w:rsidP="005555C4">
            <w:pPr>
              <w:rPr>
                <w:iCs/>
                <w:color w:val="000000"/>
                <w:sz w:val="17"/>
                <w:szCs w:val="17"/>
                <w:lang w:val="en-GB"/>
              </w:rPr>
            </w:pPr>
            <w:r w:rsidRPr="00746499">
              <w:rPr>
                <w:iCs/>
                <w:color w:val="000000"/>
                <w:sz w:val="17"/>
                <w:szCs w:val="17"/>
                <w:lang w:val="en-GB"/>
              </w:rPr>
              <w:t>Government</w:t>
            </w:r>
          </w:p>
          <w:p w14:paraId="53EBEFF9" w14:textId="77777777" w:rsidR="005555C4" w:rsidRPr="00746499" w:rsidRDefault="005555C4" w:rsidP="005555C4">
            <w:pPr>
              <w:rPr>
                <w:iCs/>
                <w:color w:val="000000"/>
                <w:sz w:val="17"/>
                <w:szCs w:val="17"/>
                <w:lang w:val="en-GB"/>
              </w:rPr>
            </w:pPr>
            <w:r w:rsidRPr="00746499">
              <w:rPr>
                <w:iCs/>
                <w:color w:val="000000"/>
                <w:sz w:val="17"/>
                <w:szCs w:val="17"/>
                <w:lang w:val="en-GB"/>
              </w:rPr>
              <w:t>National Anticorruption Centre</w:t>
            </w:r>
          </w:p>
          <w:p w14:paraId="1D61FCD9" w14:textId="60F1961F" w:rsidR="005555C4" w:rsidRPr="00746499" w:rsidRDefault="005555C4" w:rsidP="005555C4">
            <w:pPr>
              <w:rPr>
                <w:iCs/>
                <w:color w:val="000000"/>
                <w:sz w:val="17"/>
                <w:szCs w:val="17"/>
                <w:lang w:val="en-GB"/>
              </w:rPr>
            </w:pPr>
            <w:r w:rsidRPr="00746499">
              <w:rPr>
                <w:iCs/>
                <w:color w:val="000000"/>
                <w:sz w:val="17"/>
                <w:szCs w:val="17"/>
                <w:lang w:val="en-GB"/>
              </w:rPr>
              <w:t xml:space="preserve">Civil </w:t>
            </w:r>
            <w:r w:rsidR="003A6ABC" w:rsidRPr="00746499">
              <w:rPr>
                <w:iCs/>
                <w:color w:val="000000"/>
                <w:sz w:val="17"/>
                <w:szCs w:val="17"/>
                <w:lang w:val="en-GB"/>
              </w:rPr>
              <w:t>society</w:t>
            </w:r>
          </w:p>
          <w:p w14:paraId="63CB77DF" w14:textId="1F30AADC" w:rsidR="003D02D5" w:rsidRPr="00746499" w:rsidRDefault="003D02D5" w:rsidP="005555C4">
            <w:pPr>
              <w:rPr>
                <w:iCs/>
                <w:color w:val="000000"/>
                <w:sz w:val="17"/>
                <w:szCs w:val="17"/>
                <w:lang w:val="en-GB"/>
              </w:rPr>
            </w:pPr>
          </w:p>
          <w:p w14:paraId="31653D39" w14:textId="38989606" w:rsidR="003D02D5" w:rsidRPr="00746499" w:rsidRDefault="009922A0" w:rsidP="005555C4">
            <w:pPr>
              <w:rPr>
                <w:iCs/>
                <w:color w:val="000000"/>
                <w:sz w:val="17"/>
                <w:szCs w:val="17"/>
                <w:lang w:val="en-GB"/>
              </w:rPr>
            </w:pPr>
            <w:r w:rsidRPr="00746499">
              <w:rPr>
                <w:iCs/>
                <w:color w:val="000000"/>
                <w:sz w:val="17"/>
                <w:szCs w:val="17"/>
                <w:lang w:val="en-GB"/>
              </w:rPr>
              <w:t xml:space="preserve">Governments of </w:t>
            </w:r>
            <w:r w:rsidR="003A6ABC" w:rsidRPr="00746499">
              <w:rPr>
                <w:iCs/>
                <w:color w:val="000000"/>
                <w:sz w:val="17"/>
                <w:szCs w:val="17"/>
                <w:lang w:val="en-GB"/>
              </w:rPr>
              <w:t>Norway</w:t>
            </w:r>
          </w:p>
          <w:p w14:paraId="532DDF0E" w14:textId="138712C3" w:rsidR="005555C4" w:rsidRPr="00746499" w:rsidRDefault="00E82C9A" w:rsidP="005555C4">
            <w:pPr>
              <w:rPr>
                <w:sz w:val="17"/>
                <w:szCs w:val="17"/>
                <w:lang w:val="en-GB"/>
              </w:rPr>
            </w:pPr>
            <w:r w:rsidRPr="00746499">
              <w:rPr>
                <w:iCs/>
                <w:color w:val="000000"/>
                <w:sz w:val="17"/>
                <w:szCs w:val="17"/>
                <w:lang w:val="en-GB"/>
              </w:rPr>
              <w:t>Sweden,</w:t>
            </w:r>
            <w:r w:rsidR="009922A0" w:rsidRPr="00746499">
              <w:rPr>
                <w:iCs/>
                <w:color w:val="000000"/>
                <w:sz w:val="17"/>
                <w:szCs w:val="17"/>
                <w:lang w:val="en-GB"/>
              </w:rPr>
              <w:t xml:space="preserve"> </w:t>
            </w:r>
            <w:r w:rsidRPr="00746499">
              <w:rPr>
                <w:iCs/>
                <w:color w:val="000000"/>
                <w:sz w:val="17"/>
                <w:szCs w:val="17"/>
                <w:lang w:val="en-GB"/>
              </w:rPr>
              <w:t>U</w:t>
            </w:r>
            <w:r w:rsidR="003A6ABC" w:rsidRPr="00746499">
              <w:rPr>
                <w:iCs/>
                <w:color w:val="000000"/>
                <w:sz w:val="17"/>
                <w:szCs w:val="17"/>
                <w:lang w:val="en-GB"/>
              </w:rPr>
              <w:t xml:space="preserve">nited </w:t>
            </w:r>
            <w:r w:rsidRPr="00746499">
              <w:rPr>
                <w:iCs/>
                <w:color w:val="000000"/>
                <w:sz w:val="17"/>
                <w:szCs w:val="17"/>
                <w:lang w:val="en-GB"/>
              </w:rPr>
              <w:t>S</w:t>
            </w:r>
            <w:r w:rsidR="003A6ABC" w:rsidRPr="00746499">
              <w:rPr>
                <w:iCs/>
                <w:color w:val="000000"/>
                <w:sz w:val="17"/>
                <w:szCs w:val="17"/>
                <w:lang w:val="en-GB"/>
              </w:rPr>
              <w:t>tates</w:t>
            </w:r>
          </w:p>
          <w:p w14:paraId="1BE723D3" w14:textId="29178141" w:rsidR="005555C4" w:rsidRPr="00FF4180" w:rsidRDefault="003A6ABC" w:rsidP="00C1691C">
            <w:pPr>
              <w:rPr>
                <w:sz w:val="17"/>
                <w:szCs w:val="17"/>
                <w:lang w:val="en-GB"/>
              </w:rPr>
            </w:pPr>
            <w:r w:rsidRPr="00746499">
              <w:rPr>
                <w:sz w:val="17"/>
                <w:szCs w:val="17"/>
                <w:lang w:val="en-GB"/>
              </w:rPr>
              <w:t>UN-</w:t>
            </w:r>
            <w:r w:rsidR="005555C4" w:rsidRPr="00746499">
              <w:rPr>
                <w:sz w:val="17"/>
                <w:szCs w:val="17"/>
                <w:lang w:val="en-GB"/>
              </w:rPr>
              <w:t>Women</w:t>
            </w:r>
          </w:p>
        </w:tc>
        <w:tc>
          <w:tcPr>
            <w:tcW w:w="697" w:type="pct"/>
            <w:gridSpan w:val="2"/>
            <w:tcMar>
              <w:top w:w="15" w:type="dxa"/>
              <w:left w:w="108" w:type="dxa"/>
              <w:bottom w:w="0" w:type="dxa"/>
              <w:right w:w="108" w:type="dxa"/>
            </w:tcMar>
          </w:tcPr>
          <w:p w14:paraId="0D5613EC" w14:textId="77777777" w:rsidR="005555C4" w:rsidRPr="00746499" w:rsidRDefault="005555C4" w:rsidP="005555C4">
            <w:pPr>
              <w:rPr>
                <w:b/>
                <w:color w:val="000000"/>
                <w:sz w:val="17"/>
                <w:szCs w:val="17"/>
              </w:rPr>
            </w:pPr>
            <w:r w:rsidRPr="00746499">
              <w:rPr>
                <w:b/>
                <w:color w:val="000000"/>
                <w:sz w:val="17"/>
                <w:szCs w:val="17"/>
              </w:rPr>
              <w:t>Regular: 900,000</w:t>
            </w:r>
          </w:p>
        </w:tc>
      </w:tr>
      <w:tr w:rsidR="005555C4" w:rsidRPr="00746499" w14:paraId="085A6640" w14:textId="77777777" w:rsidTr="006C3F11">
        <w:trPr>
          <w:trHeight w:val="195"/>
        </w:trPr>
        <w:tc>
          <w:tcPr>
            <w:tcW w:w="1306" w:type="pct"/>
            <w:gridSpan w:val="2"/>
            <w:vMerge/>
            <w:tcMar>
              <w:top w:w="72" w:type="dxa"/>
              <w:left w:w="144" w:type="dxa"/>
              <w:bottom w:w="72" w:type="dxa"/>
              <w:right w:w="144" w:type="dxa"/>
            </w:tcMar>
          </w:tcPr>
          <w:p w14:paraId="4F59A50A" w14:textId="16D113FF" w:rsidR="005555C4" w:rsidRPr="00746499" w:rsidRDefault="005555C4" w:rsidP="005555C4">
            <w:pPr>
              <w:rPr>
                <w:i/>
                <w:iCs/>
                <w:color w:val="000000"/>
                <w:sz w:val="17"/>
                <w:szCs w:val="17"/>
                <w:lang w:val="en-GB"/>
              </w:rPr>
            </w:pPr>
          </w:p>
        </w:tc>
        <w:tc>
          <w:tcPr>
            <w:tcW w:w="689" w:type="pct"/>
            <w:gridSpan w:val="2"/>
            <w:vMerge/>
            <w:tcBorders>
              <w:bottom w:val="single" w:sz="4" w:space="0" w:color="auto"/>
            </w:tcBorders>
          </w:tcPr>
          <w:p w14:paraId="3D1D4E72" w14:textId="77777777" w:rsidR="005555C4" w:rsidRPr="00746499" w:rsidRDefault="005555C4" w:rsidP="005555C4">
            <w:pPr>
              <w:rPr>
                <w:i/>
                <w:iCs/>
                <w:color w:val="000000"/>
                <w:sz w:val="17"/>
                <w:szCs w:val="17"/>
                <w:lang w:val="en-GB"/>
              </w:rPr>
            </w:pPr>
          </w:p>
        </w:tc>
        <w:tc>
          <w:tcPr>
            <w:tcW w:w="1534" w:type="pct"/>
            <w:gridSpan w:val="2"/>
            <w:vMerge/>
            <w:tcBorders>
              <w:bottom w:val="single" w:sz="4" w:space="0" w:color="auto"/>
            </w:tcBorders>
            <w:tcMar>
              <w:top w:w="72" w:type="dxa"/>
              <w:left w:w="144" w:type="dxa"/>
              <w:bottom w:w="72" w:type="dxa"/>
              <w:right w:w="144" w:type="dxa"/>
            </w:tcMar>
          </w:tcPr>
          <w:p w14:paraId="28572EC7" w14:textId="77777777" w:rsidR="005555C4" w:rsidRPr="00746499" w:rsidRDefault="005555C4" w:rsidP="005555C4">
            <w:pPr>
              <w:rPr>
                <w:i/>
                <w:iCs/>
                <w:color w:val="000000"/>
                <w:sz w:val="17"/>
                <w:szCs w:val="17"/>
                <w:lang w:val="en-GB"/>
              </w:rPr>
            </w:pPr>
          </w:p>
        </w:tc>
        <w:tc>
          <w:tcPr>
            <w:tcW w:w="774" w:type="pct"/>
            <w:gridSpan w:val="2"/>
            <w:vMerge/>
            <w:tcBorders>
              <w:bottom w:val="single" w:sz="4" w:space="0" w:color="auto"/>
            </w:tcBorders>
          </w:tcPr>
          <w:p w14:paraId="33AA4715" w14:textId="77777777" w:rsidR="005555C4" w:rsidRPr="00746499" w:rsidRDefault="005555C4" w:rsidP="005555C4">
            <w:pPr>
              <w:rPr>
                <w:i/>
                <w:iCs/>
                <w:color w:val="000000"/>
                <w:sz w:val="17"/>
                <w:szCs w:val="17"/>
                <w:lang w:val="en-GB"/>
              </w:rPr>
            </w:pPr>
          </w:p>
        </w:tc>
        <w:tc>
          <w:tcPr>
            <w:tcW w:w="697" w:type="pct"/>
            <w:gridSpan w:val="2"/>
            <w:vMerge w:val="restart"/>
            <w:tcBorders>
              <w:bottom w:val="single" w:sz="4" w:space="0" w:color="auto"/>
            </w:tcBorders>
            <w:tcMar>
              <w:top w:w="15" w:type="dxa"/>
              <w:left w:w="108" w:type="dxa"/>
              <w:bottom w:w="0" w:type="dxa"/>
              <w:right w:w="108" w:type="dxa"/>
            </w:tcMar>
          </w:tcPr>
          <w:p w14:paraId="48949D11" w14:textId="19D08196" w:rsidR="005555C4" w:rsidRPr="00294364" w:rsidRDefault="005555C4" w:rsidP="00294364">
            <w:pPr>
              <w:rPr>
                <w:b/>
                <w:bCs/>
                <w:color w:val="000000"/>
                <w:sz w:val="17"/>
                <w:szCs w:val="17"/>
                <w:lang w:val="en-GB"/>
              </w:rPr>
            </w:pPr>
            <w:r w:rsidRPr="00746499">
              <w:rPr>
                <w:b/>
                <w:color w:val="000000"/>
                <w:sz w:val="17"/>
                <w:szCs w:val="17"/>
              </w:rPr>
              <w:t xml:space="preserve">Other: </w:t>
            </w:r>
            <w:r w:rsidRPr="00746499">
              <w:rPr>
                <w:b/>
                <w:bCs/>
                <w:color w:val="000000"/>
                <w:sz w:val="17"/>
                <w:szCs w:val="17"/>
                <w:lang w:val="en-GB"/>
              </w:rPr>
              <w:t>2</w:t>
            </w:r>
            <w:r w:rsidR="00F024DC" w:rsidRPr="00746499">
              <w:rPr>
                <w:b/>
                <w:bCs/>
                <w:color w:val="000000"/>
                <w:sz w:val="17"/>
                <w:szCs w:val="17"/>
                <w:lang w:val="en-GB"/>
              </w:rPr>
              <w:t>5</w:t>
            </w:r>
            <w:r w:rsidRPr="00746499">
              <w:rPr>
                <w:b/>
                <w:bCs/>
                <w:color w:val="000000"/>
                <w:sz w:val="17"/>
                <w:szCs w:val="17"/>
                <w:lang w:val="en-GB"/>
              </w:rPr>
              <w:t>,600,000</w:t>
            </w:r>
          </w:p>
        </w:tc>
      </w:tr>
      <w:tr w:rsidR="005555C4" w:rsidRPr="00746499" w14:paraId="5040D2E6" w14:textId="77777777" w:rsidTr="006C3F11">
        <w:tc>
          <w:tcPr>
            <w:tcW w:w="1306" w:type="pct"/>
            <w:gridSpan w:val="2"/>
            <w:vMerge/>
            <w:tcMar>
              <w:top w:w="72" w:type="dxa"/>
              <w:left w:w="144" w:type="dxa"/>
              <w:bottom w:w="72" w:type="dxa"/>
              <w:right w:w="144" w:type="dxa"/>
            </w:tcMar>
          </w:tcPr>
          <w:p w14:paraId="0F116D42" w14:textId="77777777" w:rsidR="005555C4" w:rsidRPr="00746499" w:rsidRDefault="005555C4" w:rsidP="005555C4">
            <w:pPr>
              <w:rPr>
                <w:sz w:val="17"/>
                <w:szCs w:val="17"/>
                <w:lang w:val="en-GB"/>
              </w:rPr>
            </w:pPr>
          </w:p>
        </w:tc>
        <w:tc>
          <w:tcPr>
            <w:tcW w:w="689" w:type="pct"/>
            <w:gridSpan w:val="2"/>
          </w:tcPr>
          <w:p w14:paraId="2A9945CF" w14:textId="77777777" w:rsidR="005555C4" w:rsidRPr="00746499" w:rsidRDefault="005555C4" w:rsidP="005555C4">
            <w:pPr>
              <w:rPr>
                <w:iCs/>
                <w:color w:val="000000"/>
                <w:sz w:val="17"/>
                <w:szCs w:val="17"/>
                <w:lang w:val="en-GB"/>
              </w:rPr>
            </w:pPr>
            <w:r w:rsidRPr="00746499">
              <w:rPr>
                <w:sz w:val="17"/>
                <w:szCs w:val="17"/>
                <w:lang w:val="en-GB"/>
              </w:rPr>
              <w:t>Equality Perceptions Study (biannual)/ OHCHR</w:t>
            </w:r>
          </w:p>
        </w:tc>
        <w:tc>
          <w:tcPr>
            <w:tcW w:w="1534" w:type="pct"/>
            <w:gridSpan w:val="2"/>
            <w:tcMar>
              <w:top w:w="72" w:type="dxa"/>
              <w:left w:w="144" w:type="dxa"/>
              <w:bottom w:w="72" w:type="dxa"/>
              <w:right w:w="144" w:type="dxa"/>
            </w:tcMar>
          </w:tcPr>
          <w:p w14:paraId="5517DEF4" w14:textId="77777777" w:rsidR="005555C4" w:rsidRPr="00746499" w:rsidRDefault="005555C4" w:rsidP="005555C4">
            <w:pPr>
              <w:spacing w:after="160" w:line="252" w:lineRule="auto"/>
              <w:contextualSpacing/>
              <w:rPr>
                <w:rFonts w:eastAsia="Calibri"/>
                <w:b/>
                <w:sz w:val="17"/>
                <w:szCs w:val="17"/>
              </w:rPr>
            </w:pPr>
            <w:r w:rsidRPr="00746499">
              <w:rPr>
                <w:b/>
                <w:sz w:val="17"/>
                <w:szCs w:val="17"/>
              </w:rPr>
              <w:t xml:space="preserve">OUTPUT 1.4: Women and men, including from minority and </w:t>
            </w:r>
            <w:r w:rsidR="00353F60" w:rsidRPr="00746499">
              <w:rPr>
                <w:b/>
                <w:sz w:val="17"/>
                <w:szCs w:val="17"/>
              </w:rPr>
              <w:t>marginalized</w:t>
            </w:r>
            <w:r w:rsidRPr="00746499">
              <w:rPr>
                <w:b/>
                <w:sz w:val="17"/>
                <w:szCs w:val="17"/>
              </w:rPr>
              <w:t xml:space="preserve"> groups, are enjoying rule of law and protection of human rights ensured by inclusive institutions </w:t>
            </w:r>
          </w:p>
          <w:p w14:paraId="0FD11ECB" w14:textId="77777777" w:rsidR="005555C4" w:rsidRPr="00746499" w:rsidRDefault="005555C4" w:rsidP="005555C4">
            <w:pPr>
              <w:spacing w:after="160" w:line="252" w:lineRule="auto"/>
              <w:contextualSpacing/>
              <w:rPr>
                <w:rFonts w:eastAsia="Calibri"/>
                <w:b/>
                <w:sz w:val="17"/>
                <w:szCs w:val="17"/>
                <w:highlight w:val="yellow"/>
              </w:rPr>
            </w:pPr>
          </w:p>
          <w:p w14:paraId="649717A7" w14:textId="77777777" w:rsidR="005555C4" w:rsidRPr="00746499" w:rsidRDefault="005555C4" w:rsidP="005555C4">
            <w:pPr>
              <w:rPr>
                <w:b/>
                <w:sz w:val="17"/>
                <w:szCs w:val="17"/>
              </w:rPr>
            </w:pPr>
            <w:r w:rsidRPr="00746499">
              <w:rPr>
                <w:b/>
                <w:sz w:val="17"/>
                <w:szCs w:val="17"/>
              </w:rPr>
              <w:t xml:space="preserve">Indicator 1.4.1: Perception on the extent </w:t>
            </w:r>
            <w:r w:rsidR="001972EB" w:rsidRPr="00746499">
              <w:rPr>
                <w:b/>
                <w:sz w:val="17"/>
                <w:szCs w:val="17"/>
              </w:rPr>
              <w:t>of</w:t>
            </w:r>
            <w:r w:rsidRPr="00746499">
              <w:rPr>
                <w:b/>
                <w:sz w:val="17"/>
                <w:szCs w:val="17"/>
              </w:rPr>
              <w:t xml:space="preserve"> enjoyment of the right to a fair trial  </w:t>
            </w:r>
          </w:p>
          <w:p w14:paraId="13734D91" w14:textId="77777777" w:rsidR="005555C4" w:rsidRPr="00746499" w:rsidRDefault="005555C4" w:rsidP="005555C4">
            <w:pPr>
              <w:rPr>
                <w:sz w:val="17"/>
                <w:szCs w:val="17"/>
              </w:rPr>
            </w:pPr>
            <w:r w:rsidRPr="00746499">
              <w:rPr>
                <w:b/>
                <w:sz w:val="17"/>
                <w:szCs w:val="17"/>
              </w:rPr>
              <w:t xml:space="preserve">Baseline (2016): </w:t>
            </w:r>
            <w:r w:rsidRPr="00746499">
              <w:rPr>
                <w:sz w:val="17"/>
                <w:szCs w:val="17"/>
              </w:rPr>
              <w:t>Women – 22.7%, rural-12.1%, unemployed -8,1%; PwD 13%, Roma, religious, LGBT 10%</w:t>
            </w:r>
          </w:p>
          <w:p w14:paraId="49737CBB" w14:textId="77777777" w:rsidR="005555C4" w:rsidRPr="00746499" w:rsidRDefault="005555C4" w:rsidP="005555C4">
            <w:pPr>
              <w:rPr>
                <w:sz w:val="17"/>
                <w:szCs w:val="17"/>
              </w:rPr>
            </w:pPr>
            <w:r w:rsidRPr="00AB4715">
              <w:rPr>
                <w:b/>
                <w:sz w:val="17"/>
                <w:szCs w:val="17"/>
              </w:rPr>
              <w:t>Target</w:t>
            </w:r>
            <w:r w:rsidRPr="00746499">
              <w:rPr>
                <w:sz w:val="17"/>
                <w:szCs w:val="17"/>
              </w:rPr>
              <w:t xml:space="preserve"> (2022): Women – 27%, rural – 12.1%, unemployed – 10%, PwD 18%, Roma, religious, LGBT -15% </w:t>
            </w:r>
          </w:p>
          <w:p w14:paraId="6E84EF97" w14:textId="77777777" w:rsidR="005555C4" w:rsidRPr="00746499" w:rsidRDefault="005555C4" w:rsidP="005555C4">
            <w:pPr>
              <w:rPr>
                <w:sz w:val="17"/>
                <w:szCs w:val="17"/>
              </w:rPr>
            </w:pPr>
            <w:r w:rsidRPr="00AB4715">
              <w:rPr>
                <w:b/>
                <w:sz w:val="17"/>
                <w:szCs w:val="17"/>
              </w:rPr>
              <w:t>Means of verification</w:t>
            </w:r>
            <w:r w:rsidRPr="00746499">
              <w:rPr>
                <w:sz w:val="17"/>
                <w:szCs w:val="17"/>
              </w:rPr>
              <w:t xml:space="preserve">: </w:t>
            </w:r>
            <w:hyperlink r:id="rId22" w:history="1">
              <w:r w:rsidRPr="00746499">
                <w:rPr>
                  <w:rStyle w:val="Hyperlink"/>
                  <w:sz w:val="17"/>
                  <w:szCs w:val="17"/>
                </w:rPr>
                <w:t>Human-rights Study</w:t>
              </w:r>
            </w:hyperlink>
          </w:p>
          <w:p w14:paraId="7CE87601" w14:textId="77777777" w:rsidR="005555C4" w:rsidRPr="00746499" w:rsidRDefault="005555C4" w:rsidP="005555C4">
            <w:pPr>
              <w:rPr>
                <w:sz w:val="17"/>
                <w:szCs w:val="17"/>
              </w:rPr>
            </w:pPr>
          </w:p>
          <w:p w14:paraId="7D03F1D5" w14:textId="77777777" w:rsidR="005555C4" w:rsidRPr="00746499" w:rsidRDefault="005555C4" w:rsidP="005555C4">
            <w:pPr>
              <w:rPr>
                <w:iCs/>
                <w:color w:val="000000"/>
                <w:sz w:val="17"/>
                <w:szCs w:val="17"/>
                <w:lang w:val="en-GB"/>
              </w:rPr>
            </w:pPr>
            <w:r w:rsidRPr="00746499">
              <w:rPr>
                <w:b/>
                <w:iCs/>
                <w:color w:val="000000"/>
                <w:sz w:val="17"/>
                <w:szCs w:val="17"/>
                <w:lang w:val="en-GB"/>
              </w:rPr>
              <w:t>Indicator 1.4.2</w:t>
            </w:r>
            <w:r w:rsidRPr="00746499">
              <w:rPr>
                <w:iCs/>
                <w:color w:val="000000"/>
                <w:sz w:val="17"/>
                <w:szCs w:val="17"/>
                <w:lang w:val="en-GB"/>
              </w:rPr>
              <w:t xml:space="preserve">: Share of implemented actions from the National Human Rights Action Plan 2017-2021 </w:t>
            </w:r>
          </w:p>
          <w:p w14:paraId="51E4F80F" w14:textId="77777777" w:rsidR="00AB4715" w:rsidRDefault="005555C4" w:rsidP="005555C4">
            <w:pPr>
              <w:rPr>
                <w:iCs/>
                <w:color w:val="000000"/>
                <w:sz w:val="17"/>
                <w:szCs w:val="17"/>
                <w:lang w:val="en-GB"/>
              </w:rPr>
            </w:pPr>
            <w:r w:rsidRPr="00746499">
              <w:rPr>
                <w:b/>
                <w:iCs/>
                <w:color w:val="000000"/>
                <w:sz w:val="17"/>
                <w:szCs w:val="17"/>
                <w:lang w:val="en-GB"/>
              </w:rPr>
              <w:t>Baseline (2016)</w:t>
            </w:r>
            <w:r w:rsidR="001972EB" w:rsidRPr="00746499">
              <w:rPr>
                <w:iCs/>
                <w:color w:val="000000"/>
                <w:sz w:val="17"/>
                <w:szCs w:val="17"/>
                <w:lang w:val="en-GB"/>
              </w:rPr>
              <w:t>: 0%</w:t>
            </w:r>
          </w:p>
          <w:p w14:paraId="1B6160C2" w14:textId="580D425F" w:rsidR="005555C4" w:rsidRPr="00746499" w:rsidRDefault="005555C4" w:rsidP="005555C4">
            <w:pPr>
              <w:rPr>
                <w:iCs/>
                <w:color w:val="000000"/>
                <w:sz w:val="17"/>
                <w:szCs w:val="17"/>
                <w:lang w:val="en-GB"/>
              </w:rPr>
            </w:pPr>
            <w:r w:rsidRPr="00746499">
              <w:rPr>
                <w:b/>
                <w:iCs/>
                <w:color w:val="000000"/>
                <w:sz w:val="17"/>
                <w:szCs w:val="17"/>
                <w:lang w:val="en-GB"/>
              </w:rPr>
              <w:t>Target</w:t>
            </w:r>
            <w:r w:rsidRPr="00746499">
              <w:rPr>
                <w:iCs/>
                <w:color w:val="000000"/>
                <w:sz w:val="17"/>
                <w:szCs w:val="17"/>
                <w:lang w:val="en-GB"/>
              </w:rPr>
              <w:t>: 50%</w:t>
            </w:r>
          </w:p>
          <w:p w14:paraId="01C9A701" w14:textId="77777777" w:rsidR="005555C4" w:rsidRPr="00746499" w:rsidRDefault="005555C4" w:rsidP="005555C4">
            <w:pPr>
              <w:widowControl w:val="0"/>
              <w:rPr>
                <w:sz w:val="17"/>
                <w:szCs w:val="17"/>
                <w:lang w:val="en-GB"/>
              </w:rPr>
            </w:pPr>
            <w:r w:rsidRPr="00746499">
              <w:rPr>
                <w:b/>
                <w:sz w:val="17"/>
                <w:szCs w:val="17"/>
              </w:rPr>
              <w:t xml:space="preserve">Means of verification: </w:t>
            </w:r>
            <w:r w:rsidRPr="00746499">
              <w:rPr>
                <w:sz w:val="17"/>
                <w:szCs w:val="17"/>
              </w:rPr>
              <w:t xml:space="preserve">National Reports </w:t>
            </w:r>
          </w:p>
          <w:p w14:paraId="30189181" w14:textId="77777777" w:rsidR="005555C4" w:rsidRPr="00746499" w:rsidRDefault="005555C4" w:rsidP="005555C4">
            <w:pPr>
              <w:rPr>
                <w:iCs/>
                <w:color w:val="000000"/>
                <w:sz w:val="17"/>
                <w:szCs w:val="17"/>
                <w:lang w:val="en-GB"/>
              </w:rPr>
            </w:pPr>
          </w:p>
          <w:p w14:paraId="3992C7ED" w14:textId="77777777" w:rsidR="005555C4" w:rsidRPr="00746499" w:rsidRDefault="005555C4" w:rsidP="005555C4">
            <w:pPr>
              <w:rPr>
                <w:b/>
                <w:iCs/>
                <w:color w:val="000000"/>
                <w:sz w:val="17"/>
                <w:szCs w:val="17"/>
                <w:lang w:val="en-GB"/>
              </w:rPr>
            </w:pPr>
            <w:r w:rsidRPr="00746499">
              <w:rPr>
                <w:b/>
                <w:iCs/>
                <w:color w:val="000000"/>
                <w:sz w:val="17"/>
                <w:szCs w:val="17"/>
                <w:lang w:val="en-GB"/>
              </w:rPr>
              <w:t xml:space="preserve">Indicator 1.4.3: </w:t>
            </w:r>
            <w:r w:rsidR="00353F60" w:rsidRPr="00746499">
              <w:rPr>
                <w:iCs/>
                <w:color w:val="000000"/>
                <w:sz w:val="17"/>
                <w:szCs w:val="17"/>
                <w:lang w:val="en-GB"/>
              </w:rPr>
              <w:t xml:space="preserve">Level of </w:t>
            </w:r>
            <w:r w:rsidRPr="00746499">
              <w:rPr>
                <w:iCs/>
                <w:color w:val="000000"/>
                <w:sz w:val="17"/>
                <w:szCs w:val="17"/>
                <w:lang w:val="en-GB"/>
              </w:rPr>
              <w:t xml:space="preserve">integration </w:t>
            </w:r>
            <w:r w:rsidR="00353F60" w:rsidRPr="00746499">
              <w:rPr>
                <w:iCs/>
                <w:color w:val="000000"/>
                <w:sz w:val="17"/>
                <w:szCs w:val="17"/>
                <w:lang w:val="en-GB"/>
              </w:rPr>
              <w:t xml:space="preserve">of gender-responsive measures </w:t>
            </w:r>
            <w:r w:rsidRPr="00746499">
              <w:rPr>
                <w:iCs/>
                <w:color w:val="000000"/>
                <w:sz w:val="17"/>
                <w:szCs w:val="17"/>
                <w:lang w:val="en-GB"/>
              </w:rPr>
              <w:t>in police human resources management</w:t>
            </w:r>
            <w:r w:rsidR="001972EB" w:rsidRPr="00746499">
              <w:rPr>
                <w:iCs/>
                <w:color w:val="000000"/>
                <w:sz w:val="17"/>
                <w:szCs w:val="17"/>
                <w:lang w:val="en-GB"/>
              </w:rPr>
              <w:t xml:space="preserve"> and the share of women in police</w:t>
            </w:r>
          </w:p>
          <w:p w14:paraId="4F0C9335" w14:textId="77777777" w:rsidR="005555C4" w:rsidRPr="00746499" w:rsidRDefault="005555C4" w:rsidP="005555C4">
            <w:pPr>
              <w:rPr>
                <w:b/>
                <w:iCs/>
                <w:color w:val="000000"/>
                <w:sz w:val="17"/>
                <w:szCs w:val="17"/>
                <w:lang w:val="en-GB"/>
              </w:rPr>
            </w:pPr>
            <w:r w:rsidRPr="00746499">
              <w:rPr>
                <w:b/>
                <w:iCs/>
                <w:color w:val="000000"/>
                <w:sz w:val="17"/>
                <w:szCs w:val="17"/>
                <w:lang w:val="en-GB"/>
              </w:rPr>
              <w:t xml:space="preserve">Baseline (2016): </w:t>
            </w:r>
            <w:r w:rsidR="00353F60" w:rsidRPr="00746499">
              <w:rPr>
                <w:iCs/>
                <w:color w:val="000000"/>
                <w:sz w:val="17"/>
                <w:szCs w:val="17"/>
                <w:lang w:val="en-GB"/>
              </w:rPr>
              <w:t>gender-blind non-standardized</w:t>
            </w:r>
            <w:r w:rsidRPr="00746499">
              <w:rPr>
                <w:iCs/>
                <w:color w:val="000000"/>
                <w:sz w:val="17"/>
                <w:szCs w:val="17"/>
                <w:lang w:val="en-GB"/>
              </w:rPr>
              <w:t xml:space="preserve">, 14% </w:t>
            </w:r>
            <w:r w:rsidR="00353F60" w:rsidRPr="00746499">
              <w:rPr>
                <w:iCs/>
                <w:color w:val="000000"/>
                <w:sz w:val="17"/>
                <w:szCs w:val="17"/>
                <w:lang w:val="en-GB"/>
              </w:rPr>
              <w:t xml:space="preserve">police are women </w:t>
            </w:r>
          </w:p>
          <w:p w14:paraId="3078365D" w14:textId="77777777" w:rsidR="005555C4" w:rsidRPr="00746499" w:rsidRDefault="005555C4" w:rsidP="005555C4">
            <w:pPr>
              <w:rPr>
                <w:iCs/>
                <w:color w:val="000000"/>
                <w:sz w:val="17"/>
                <w:szCs w:val="17"/>
                <w:lang w:val="en-GB"/>
              </w:rPr>
            </w:pPr>
            <w:r w:rsidRPr="00746499">
              <w:rPr>
                <w:b/>
                <w:iCs/>
                <w:color w:val="000000"/>
                <w:sz w:val="17"/>
                <w:szCs w:val="17"/>
                <w:lang w:val="en-GB"/>
              </w:rPr>
              <w:t xml:space="preserve">Target: </w:t>
            </w:r>
            <w:r w:rsidRPr="00746499">
              <w:rPr>
                <w:iCs/>
                <w:color w:val="000000"/>
                <w:sz w:val="17"/>
                <w:szCs w:val="17"/>
                <w:lang w:val="en-GB"/>
              </w:rPr>
              <w:t>S</w:t>
            </w:r>
            <w:r w:rsidR="00353F60" w:rsidRPr="00746499">
              <w:rPr>
                <w:iCs/>
                <w:color w:val="000000"/>
                <w:sz w:val="17"/>
                <w:szCs w:val="17"/>
                <w:lang w:val="en-GB"/>
              </w:rPr>
              <w:t xml:space="preserve">tandardized gender-mainstreamed, including </w:t>
            </w:r>
            <w:r w:rsidRPr="00746499">
              <w:rPr>
                <w:iCs/>
                <w:color w:val="000000"/>
                <w:sz w:val="17"/>
                <w:szCs w:val="17"/>
                <w:lang w:val="en-GB"/>
              </w:rPr>
              <w:t>merit-based selection, evaluation and promotion; 17%</w:t>
            </w:r>
            <w:r w:rsidR="00353F60" w:rsidRPr="00746499">
              <w:rPr>
                <w:iCs/>
                <w:color w:val="000000"/>
                <w:sz w:val="17"/>
                <w:szCs w:val="17"/>
                <w:lang w:val="en-GB"/>
              </w:rPr>
              <w:t xml:space="preserve"> police are women </w:t>
            </w:r>
          </w:p>
          <w:p w14:paraId="06C52D7D" w14:textId="3847FAF3" w:rsidR="005555C4" w:rsidRPr="00746499" w:rsidRDefault="005555C4" w:rsidP="006D5EA9">
            <w:pPr>
              <w:rPr>
                <w:sz w:val="17"/>
                <w:szCs w:val="17"/>
                <w:lang w:val="en-GB"/>
              </w:rPr>
            </w:pPr>
            <w:r w:rsidRPr="00746499">
              <w:rPr>
                <w:b/>
                <w:iCs/>
                <w:color w:val="000000"/>
                <w:sz w:val="17"/>
                <w:szCs w:val="17"/>
                <w:lang w:val="en-GB"/>
              </w:rPr>
              <w:t xml:space="preserve">Means of verification: </w:t>
            </w:r>
            <w:r w:rsidR="000C6C81" w:rsidRPr="00746499">
              <w:rPr>
                <w:iCs/>
                <w:color w:val="000000"/>
                <w:sz w:val="17"/>
                <w:szCs w:val="17"/>
                <w:lang w:val="en-GB"/>
              </w:rPr>
              <w:t>Ministry of Interior reports</w:t>
            </w:r>
          </w:p>
        </w:tc>
        <w:tc>
          <w:tcPr>
            <w:tcW w:w="774" w:type="pct"/>
            <w:gridSpan w:val="2"/>
          </w:tcPr>
          <w:p w14:paraId="556ED1A0" w14:textId="77777777" w:rsidR="005555C4" w:rsidRPr="00746499" w:rsidRDefault="005555C4" w:rsidP="005555C4">
            <w:pPr>
              <w:rPr>
                <w:sz w:val="17"/>
                <w:szCs w:val="17"/>
                <w:lang w:val="en-GB"/>
              </w:rPr>
            </w:pPr>
            <w:r w:rsidRPr="00746499">
              <w:rPr>
                <w:sz w:val="17"/>
                <w:szCs w:val="17"/>
                <w:lang w:val="en-GB"/>
              </w:rPr>
              <w:t>Ministry of Justice</w:t>
            </w:r>
          </w:p>
          <w:p w14:paraId="176CD054" w14:textId="77777777" w:rsidR="005555C4" w:rsidRPr="00746499" w:rsidRDefault="005555C4" w:rsidP="005555C4">
            <w:pPr>
              <w:rPr>
                <w:sz w:val="17"/>
                <w:szCs w:val="17"/>
                <w:lang w:val="en-GB"/>
              </w:rPr>
            </w:pPr>
            <w:r w:rsidRPr="00746499">
              <w:rPr>
                <w:sz w:val="17"/>
                <w:szCs w:val="17"/>
                <w:lang w:val="en-GB"/>
              </w:rPr>
              <w:t xml:space="preserve">Prosecutor General Office, National Institute of Justice </w:t>
            </w:r>
          </w:p>
          <w:p w14:paraId="4480DAE4" w14:textId="77777777" w:rsidR="005555C4" w:rsidRPr="00746499" w:rsidRDefault="005555C4" w:rsidP="005555C4">
            <w:pPr>
              <w:rPr>
                <w:sz w:val="17"/>
                <w:szCs w:val="17"/>
                <w:lang w:val="en-GB"/>
              </w:rPr>
            </w:pPr>
            <w:r w:rsidRPr="00746499">
              <w:rPr>
                <w:sz w:val="17"/>
                <w:szCs w:val="17"/>
                <w:lang w:val="en-GB"/>
              </w:rPr>
              <w:t xml:space="preserve">Development partners </w:t>
            </w:r>
          </w:p>
          <w:p w14:paraId="1E5A3565" w14:textId="77777777" w:rsidR="005555C4" w:rsidRPr="00746499" w:rsidRDefault="005555C4" w:rsidP="005555C4">
            <w:pPr>
              <w:rPr>
                <w:sz w:val="17"/>
                <w:szCs w:val="17"/>
                <w:lang w:val="en-GB"/>
              </w:rPr>
            </w:pPr>
            <w:r w:rsidRPr="00746499">
              <w:rPr>
                <w:sz w:val="17"/>
                <w:szCs w:val="17"/>
                <w:lang w:val="en-GB"/>
              </w:rPr>
              <w:t>Civil Society</w:t>
            </w:r>
          </w:p>
          <w:p w14:paraId="05BF31FF" w14:textId="77777777" w:rsidR="005555C4" w:rsidRPr="00746499" w:rsidRDefault="005555C4" w:rsidP="005555C4">
            <w:pPr>
              <w:widowControl w:val="0"/>
              <w:rPr>
                <w:sz w:val="17"/>
                <w:szCs w:val="17"/>
                <w:lang w:val="en-GB"/>
              </w:rPr>
            </w:pPr>
          </w:p>
          <w:p w14:paraId="12EDAFFF" w14:textId="77777777" w:rsidR="005555C4" w:rsidRPr="00746499" w:rsidRDefault="005555C4" w:rsidP="005555C4">
            <w:pPr>
              <w:widowControl w:val="0"/>
              <w:rPr>
                <w:sz w:val="17"/>
                <w:szCs w:val="17"/>
                <w:lang w:val="en-GB"/>
              </w:rPr>
            </w:pPr>
          </w:p>
          <w:p w14:paraId="4385917E" w14:textId="77777777" w:rsidR="005555C4" w:rsidRPr="00746499" w:rsidRDefault="005555C4" w:rsidP="005555C4">
            <w:pPr>
              <w:widowControl w:val="0"/>
              <w:rPr>
                <w:sz w:val="17"/>
                <w:szCs w:val="17"/>
                <w:lang w:val="en-GB"/>
              </w:rPr>
            </w:pPr>
          </w:p>
          <w:p w14:paraId="762B7007" w14:textId="77777777" w:rsidR="005555C4" w:rsidRPr="00746499" w:rsidRDefault="005555C4" w:rsidP="005555C4">
            <w:pPr>
              <w:widowControl w:val="0"/>
              <w:rPr>
                <w:sz w:val="17"/>
                <w:szCs w:val="17"/>
                <w:lang w:val="en-GB"/>
              </w:rPr>
            </w:pPr>
          </w:p>
          <w:p w14:paraId="7B75B3E7" w14:textId="77777777" w:rsidR="005555C4" w:rsidRPr="00746499" w:rsidRDefault="005555C4" w:rsidP="005555C4">
            <w:pPr>
              <w:widowControl w:val="0"/>
              <w:rPr>
                <w:sz w:val="17"/>
                <w:szCs w:val="17"/>
                <w:lang w:val="en-GB"/>
              </w:rPr>
            </w:pPr>
          </w:p>
          <w:p w14:paraId="6D838C64" w14:textId="77777777" w:rsidR="005555C4" w:rsidRPr="00746499" w:rsidRDefault="005555C4" w:rsidP="005555C4">
            <w:pPr>
              <w:widowControl w:val="0"/>
              <w:rPr>
                <w:sz w:val="17"/>
                <w:szCs w:val="17"/>
                <w:lang w:val="en-GB"/>
              </w:rPr>
            </w:pPr>
          </w:p>
          <w:p w14:paraId="6AADD2AF" w14:textId="77777777" w:rsidR="005555C4" w:rsidRPr="00746499" w:rsidRDefault="005555C4" w:rsidP="005555C4">
            <w:pPr>
              <w:widowControl w:val="0"/>
              <w:rPr>
                <w:sz w:val="17"/>
                <w:szCs w:val="17"/>
                <w:lang w:val="en-GB"/>
              </w:rPr>
            </w:pPr>
          </w:p>
          <w:p w14:paraId="2978753E" w14:textId="77777777" w:rsidR="005555C4" w:rsidRPr="00746499" w:rsidRDefault="005555C4" w:rsidP="005555C4">
            <w:pPr>
              <w:widowControl w:val="0"/>
              <w:rPr>
                <w:sz w:val="17"/>
                <w:szCs w:val="17"/>
                <w:lang w:val="en-GB"/>
              </w:rPr>
            </w:pPr>
          </w:p>
          <w:p w14:paraId="0D36940F" w14:textId="77777777" w:rsidR="005555C4" w:rsidRPr="00746499" w:rsidRDefault="005555C4" w:rsidP="005555C4">
            <w:pPr>
              <w:widowControl w:val="0"/>
              <w:rPr>
                <w:sz w:val="17"/>
                <w:szCs w:val="17"/>
                <w:lang w:val="en-GB"/>
              </w:rPr>
            </w:pPr>
          </w:p>
          <w:p w14:paraId="01DAB056" w14:textId="77777777" w:rsidR="005555C4" w:rsidRPr="00746499" w:rsidRDefault="005555C4" w:rsidP="005555C4">
            <w:pPr>
              <w:widowControl w:val="0"/>
              <w:rPr>
                <w:sz w:val="17"/>
                <w:szCs w:val="17"/>
                <w:lang w:val="en-GB"/>
              </w:rPr>
            </w:pPr>
          </w:p>
          <w:p w14:paraId="3DAB7F27" w14:textId="77777777" w:rsidR="005555C4" w:rsidRPr="00746499" w:rsidRDefault="005555C4" w:rsidP="005555C4">
            <w:pPr>
              <w:widowControl w:val="0"/>
              <w:rPr>
                <w:sz w:val="17"/>
                <w:szCs w:val="17"/>
                <w:lang w:val="en-GB"/>
              </w:rPr>
            </w:pPr>
            <w:r w:rsidRPr="00746499">
              <w:rPr>
                <w:sz w:val="17"/>
                <w:szCs w:val="17"/>
                <w:lang w:val="en-GB"/>
              </w:rPr>
              <w:t>Government</w:t>
            </w:r>
          </w:p>
          <w:p w14:paraId="7739BF94" w14:textId="77777777" w:rsidR="005555C4" w:rsidRPr="00746499" w:rsidRDefault="005555C4" w:rsidP="005555C4">
            <w:pPr>
              <w:widowControl w:val="0"/>
              <w:rPr>
                <w:sz w:val="17"/>
                <w:szCs w:val="17"/>
                <w:lang w:val="en-GB"/>
              </w:rPr>
            </w:pPr>
            <w:r w:rsidRPr="00746499">
              <w:rPr>
                <w:sz w:val="17"/>
                <w:szCs w:val="17"/>
                <w:lang w:val="en-GB"/>
              </w:rPr>
              <w:t>Office of the People’s Advocate</w:t>
            </w:r>
          </w:p>
          <w:p w14:paraId="7D777B63" w14:textId="77777777" w:rsidR="005555C4" w:rsidRPr="00746499" w:rsidRDefault="005555C4" w:rsidP="005555C4">
            <w:pPr>
              <w:widowControl w:val="0"/>
              <w:rPr>
                <w:sz w:val="17"/>
                <w:szCs w:val="17"/>
                <w:lang w:val="en-GB"/>
              </w:rPr>
            </w:pPr>
            <w:r w:rsidRPr="00746499">
              <w:rPr>
                <w:sz w:val="17"/>
                <w:szCs w:val="17"/>
                <w:lang w:val="en-GB"/>
              </w:rPr>
              <w:t>Equality Council</w:t>
            </w:r>
          </w:p>
          <w:p w14:paraId="6BC57116" w14:textId="77777777" w:rsidR="005555C4" w:rsidRPr="00746499" w:rsidRDefault="005555C4" w:rsidP="005555C4">
            <w:pPr>
              <w:widowControl w:val="0"/>
              <w:rPr>
                <w:sz w:val="17"/>
                <w:szCs w:val="17"/>
                <w:lang w:val="en-GB"/>
              </w:rPr>
            </w:pPr>
            <w:r w:rsidRPr="00746499">
              <w:rPr>
                <w:sz w:val="17"/>
                <w:szCs w:val="17"/>
                <w:lang w:val="en-GB"/>
              </w:rPr>
              <w:t xml:space="preserve">OHCHR </w:t>
            </w:r>
          </w:p>
          <w:p w14:paraId="10903708" w14:textId="77777777" w:rsidR="005555C4" w:rsidRPr="00746499" w:rsidRDefault="005555C4" w:rsidP="005555C4">
            <w:pPr>
              <w:widowControl w:val="0"/>
              <w:rPr>
                <w:sz w:val="17"/>
                <w:szCs w:val="17"/>
                <w:lang w:val="en-GB"/>
              </w:rPr>
            </w:pPr>
            <w:r w:rsidRPr="00746499">
              <w:rPr>
                <w:sz w:val="17"/>
                <w:szCs w:val="17"/>
                <w:lang w:val="en-GB"/>
              </w:rPr>
              <w:t>UNFPA</w:t>
            </w:r>
          </w:p>
          <w:p w14:paraId="079BDFE3" w14:textId="77777777" w:rsidR="005555C4" w:rsidRPr="00746499" w:rsidRDefault="005555C4" w:rsidP="005555C4">
            <w:pPr>
              <w:widowControl w:val="0"/>
              <w:rPr>
                <w:sz w:val="17"/>
                <w:szCs w:val="17"/>
                <w:lang w:val="en-GB"/>
              </w:rPr>
            </w:pPr>
            <w:r w:rsidRPr="00746499">
              <w:rPr>
                <w:sz w:val="17"/>
                <w:szCs w:val="17"/>
                <w:lang w:val="en-GB"/>
              </w:rPr>
              <w:t>UNICEF</w:t>
            </w:r>
          </w:p>
          <w:p w14:paraId="01E8C0DD" w14:textId="77777777" w:rsidR="005555C4" w:rsidRPr="00746499" w:rsidRDefault="005555C4" w:rsidP="005555C4">
            <w:pPr>
              <w:widowControl w:val="0"/>
              <w:rPr>
                <w:sz w:val="17"/>
                <w:szCs w:val="17"/>
                <w:lang w:val="en-GB"/>
              </w:rPr>
            </w:pPr>
            <w:r w:rsidRPr="00746499">
              <w:rPr>
                <w:sz w:val="17"/>
                <w:szCs w:val="17"/>
                <w:lang w:val="en-GB"/>
              </w:rPr>
              <w:t>UN Women</w:t>
            </w:r>
          </w:p>
          <w:p w14:paraId="593B9701" w14:textId="77777777" w:rsidR="005555C4" w:rsidRPr="00746499" w:rsidRDefault="005555C4" w:rsidP="005555C4">
            <w:pPr>
              <w:widowControl w:val="0"/>
              <w:rPr>
                <w:sz w:val="17"/>
                <w:szCs w:val="17"/>
                <w:lang w:val="en-GB"/>
              </w:rPr>
            </w:pPr>
            <w:r w:rsidRPr="00746499">
              <w:rPr>
                <w:sz w:val="17"/>
                <w:szCs w:val="17"/>
                <w:lang w:val="en-GB"/>
              </w:rPr>
              <w:t>Donors</w:t>
            </w:r>
          </w:p>
          <w:p w14:paraId="5E1CEE76" w14:textId="77777777" w:rsidR="005555C4" w:rsidRPr="00746499" w:rsidRDefault="005555C4" w:rsidP="005555C4">
            <w:pPr>
              <w:widowControl w:val="0"/>
              <w:rPr>
                <w:i/>
                <w:iCs/>
                <w:color w:val="000000"/>
                <w:sz w:val="17"/>
                <w:szCs w:val="17"/>
                <w:lang w:val="en-GB"/>
              </w:rPr>
            </w:pPr>
            <w:r w:rsidRPr="00746499">
              <w:rPr>
                <w:sz w:val="17"/>
                <w:szCs w:val="17"/>
                <w:lang w:val="en-GB"/>
              </w:rPr>
              <w:t xml:space="preserve">Civil Society </w:t>
            </w:r>
          </w:p>
        </w:tc>
        <w:tc>
          <w:tcPr>
            <w:tcW w:w="697" w:type="pct"/>
            <w:gridSpan w:val="2"/>
            <w:vMerge/>
            <w:tcMar>
              <w:top w:w="15" w:type="dxa"/>
              <w:left w:w="108" w:type="dxa"/>
              <w:bottom w:w="0" w:type="dxa"/>
              <w:right w:w="108" w:type="dxa"/>
            </w:tcMar>
          </w:tcPr>
          <w:p w14:paraId="16F50155" w14:textId="77777777" w:rsidR="005555C4" w:rsidRPr="00746499" w:rsidRDefault="005555C4" w:rsidP="005555C4">
            <w:pPr>
              <w:rPr>
                <w:b/>
                <w:color w:val="000000"/>
                <w:sz w:val="17"/>
                <w:szCs w:val="17"/>
              </w:rPr>
            </w:pPr>
          </w:p>
        </w:tc>
      </w:tr>
      <w:tr w:rsidR="005555C4" w:rsidRPr="00746499" w14:paraId="0E91943C" w14:textId="77777777" w:rsidTr="00C1691C">
        <w:trPr>
          <w:gridAfter w:val="1"/>
          <w:wAfter w:w="18" w:type="pct"/>
        </w:trPr>
        <w:tc>
          <w:tcPr>
            <w:tcW w:w="4982" w:type="pct"/>
            <w:gridSpan w:val="9"/>
            <w:shd w:val="clear" w:color="auto" w:fill="auto"/>
            <w:tcMar>
              <w:top w:w="72" w:type="dxa"/>
              <w:left w:w="144" w:type="dxa"/>
              <w:bottom w:w="72" w:type="dxa"/>
              <w:right w:w="144" w:type="dxa"/>
            </w:tcMar>
          </w:tcPr>
          <w:p w14:paraId="5D9EB470" w14:textId="34FA7CC3" w:rsidR="00C05C08" w:rsidRPr="00746499" w:rsidRDefault="005555C4" w:rsidP="005555C4">
            <w:pPr>
              <w:rPr>
                <w:sz w:val="17"/>
                <w:szCs w:val="17"/>
              </w:rPr>
            </w:pPr>
            <w:r w:rsidRPr="00746499">
              <w:rPr>
                <w:b/>
                <w:sz w:val="17"/>
                <w:szCs w:val="17"/>
              </w:rPr>
              <w:t xml:space="preserve">NATIONAL PRIORITY 1: </w:t>
            </w:r>
            <w:r w:rsidRPr="00746499">
              <w:rPr>
                <w:sz w:val="17"/>
                <w:szCs w:val="17"/>
              </w:rPr>
              <w:t>Aligning the education system to labor market needs in order to enhance labor productivity and increase employment in the economy</w:t>
            </w:r>
          </w:p>
          <w:p w14:paraId="61E7A429" w14:textId="6F15F0DF" w:rsidR="005555C4" w:rsidRPr="00746499" w:rsidRDefault="00C05C08" w:rsidP="005555C4">
            <w:pPr>
              <w:rPr>
                <w:b/>
                <w:color w:val="000000"/>
                <w:sz w:val="17"/>
                <w:szCs w:val="17"/>
              </w:rPr>
            </w:pPr>
            <w:r w:rsidRPr="00746499">
              <w:rPr>
                <w:rFonts w:eastAsia="Calibri"/>
                <w:sz w:val="17"/>
                <w:szCs w:val="17"/>
                <w:lang w:val="en-GB"/>
              </w:rPr>
              <w:t>Sustainable Development Goals</w:t>
            </w:r>
            <w:r w:rsidR="005555C4" w:rsidRPr="00746499">
              <w:rPr>
                <w:sz w:val="17"/>
                <w:szCs w:val="17"/>
              </w:rPr>
              <w:t xml:space="preserve"> 1; 8; 10; 11</w:t>
            </w:r>
          </w:p>
        </w:tc>
      </w:tr>
      <w:tr w:rsidR="005555C4" w:rsidRPr="00746499" w14:paraId="0339D44D" w14:textId="77777777" w:rsidTr="00C1691C">
        <w:trPr>
          <w:gridAfter w:val="1"/>
          <w:wAfter w:w="18" w:type="pct"/>
        </w:trPr>
        <w:tc>
          <w:tcPr>
            <w:tcW w:w="4982" w:type="pct"/>
            <w:gridSpan w:val="9"/>
            <w:shd w:val="clear" w:color="auto" w:fill="auto"/>
            <w:tcMar>
              <w:top w:w="72" w:type="dxa"/>
              <w:left w:w="144" w:type="dxa"/>
              <w:bottom w:w="72" w:type="dxa"/>
              <w:right w:w="144" w:type="dxa"/>
            </w:tcMar>
          </w:tcPr>
          <w:p w14:paraId="01F08563" w14:textId="3C6B0122" w:rsidR="005555C4" w:rsidRPr="00025997" w:rsidRDefault="005555C4" w:rsidP="005555C4">
            <w:pPr>
              <w:rPr>
                <w:sz w:val="17"/>
                <w:szCs w:val="17"/>
              </w:rPr>
            </w:pPr>
            <w:r w:rsidRPr="00025997">
              <w:rPr>
                <w:b/>
                <w:sz w:val="17"/>
                <w:szCs w:val="17"/>
              </w:rPr>
              <w:t>UNDAF OUTCOME 2</w:t>
            </w:r>
            <w:r w:rsidRPr="00025997">
              <w:rPr>
                <w:sz w:val="17"/>
                <w:szCs w:val="17"/>
              </w:rPr>
              <w:t xml:space="preserve">: The people of Moldova, </w:t>
            </w:r>
            <w:r w:rsidR="007E2AB0" w:rsidRPr="00025997">
              <w:rPr>
                <w:sz w:val="17"/>
                <w:szCs w:val="17"/>
              </w:rPr>
              <w:t>especially</w:t>
            </w:r>
            <w:r w:rsidRPr="00025997">
              <w:rPr>
                <w:sz w:val="17"/>
                <w:szCs w:val="17"/>
              </w:rPr>
              <w:t xml:space="preserve"> most vulnerable, have access to enhanced livelihood opportunities, decent work and productive employment, generated by sustainable, inclusive and equitable economic growth</w:t>
            </w:r>
          </w:p>
        </w:tc>
      </w:tr>
      <w:tr w:rsidR="005555C4" w:rsidRPr="00746499" w14:paraId="7147A88F" w14:textId="77777777" w:rsidTr="00C1691C">
        <w:trPr>
          <w:gridAfter w:val="1"/>
          <w:wAfter w:w="18" w:type="pct"/>
        </w:trPr>
        <w:tc>
          <w:tcPr>
            <w:tcW w:w="4982" w:type="pct"/>
            <w:gridSpan w:val="9"/>
            <w:shd w:val="clear" w:color="auto" w:fill="auto"/>
            <w:tcMar>
              <w:top w:w="72" w:type="dxa"/>
              <w:left w:w="144" w:type="dxa"/>
              <w:bottom w:w="72" w:type="dxa"/>
              <w:right w:w="144" w:type="dxa"/>
            </w:tcMar>
          </w:tcPr>
          <w:p w14:paraId="5C923D54" w14:textId="4DC55219" w:rsidR="005555C4" w:rsidRPr="00025997" w:rsidRDefault="00025997" w:rsidP="00C05C08">
            <w:pPr>
              <w:rPr>
                <w:sz w:val="17"/>
                <w:szCs w:val="17"/>
              </w:rPr>
            </w:pPr>
            <w:r w:rsidRPr="00025997">
              <w:rPr>
                <w:b/>
                <w:sz w:val="17"/>
                <w:szCs w:val="17"/>
              </w:rPr>
              <w:t xml:space="preserve">RELATED </w:t>
            </w:r>
            <w:r w:rsidR="007E2AB0" w:rsidRPr="00025997">
              <w:rPr>
                <w:b/>
                <w:sz w:val="17"/>
                <w:szCs w:val="17"/>
              </w:rPr>
              <w:t>S</w:t>
            </w:r>
            <w:r w:rsidR="00007D86" w:rsidRPr="00025997">
              <w:rPr>
                <w:b/>
                <w:sz w:val="17"/>
                <w:szCs w:val="17"/>
              </w:rPr>
              <w:t xml:space="preserve">TRATEGIC </w:t>
            </w:r>
            <w:r w:rsidR="007E2AB0" w:rsidRPr="00025997">
              <w:rPr>
                <w:b/>
                <w:sz w:val="17"/>
                <w:szCs w:val="17"/>
              </w:rPr>
              <w:t>P</w:t>
            </w:r>
            <w:r w:rsidR="00007D86" w:rsidRPr="00025997">
              <w:rPr>
                <w:b/>
                <w:sz w:val="17"/>
                <w:szCs w:val="17"/>
              </w:rPr>
              <w:t>LAN</w:t>
            </w:r>
            <w:r w:rsidR="007E2AB0" w:rsidRPr="00025997">
              <w:rPr>
                <w:b/>
                <w:sz w:val="17"/>
                <w:szCs w:val="17"/>
              </w:rPr>
              <w:t xml:space="preserve"> OUTCOME</w:t>
            </w:r>
            <w:r w:rsidR="007E2AB0" w:rsidRPr="00025997">
              <w:rPr>
                <w:sz w:val="17"/>
                <w:szCs w:val="17"/>
              </w:rPr>
              <w:t>:</w:t>
            </w:r>
            <w:r w:rsidR="00C05C08" w:rsidRPr="00025997">
              <w:rPr>
                <w:sz w:val="17"/>
                <w:szCs w:val="17"/>
              </w:rPr>
              <w:t xml:space="preserve"> Growth and development are inclusive and sustainable, incorporating productive capacities that create employment and livelihoods for the poor and excluded</w:t>
            </w:r>
          </w:p>
        </w:tc>
      </w:tr>
      <w:tr w:rsidR="000C6C81" w:rsidRPr="00746499" w14:paraId="0104CFAC" w14:textId="77777777" w:rsidTr="006C3F11">
        <w:trPr>
          <w:gridAfter w:val="1"/>
          <w:wAfter w:w="18" w:type="pct"/>
        </w:trPr>
        <w:tc>
          <w:tcPr>
            <w:tcW w:w="1292" w:type="pct"/>
            <w:vMerge w:val="restart"/>
            <w:tcMar>
              <w:top w:w="72" w:type="dxa"/>
              <w:left w:w="144" w:type="dxa"/>
              <w:bottom w:w="72" w:type="dxa"/>
              <w:right w:w="144" w:type="dxa"/>
            </w:tcMar>
          </w:tcPr>
          <w:p w14:paraId="304038FC" w14:textId="77777777" w:rsidR="000C6C81" w:rsidRPr="00746499" w:rsidRDefault="000C6C81" w:rsidP="005555C4">
            <w:pPr>
              <w:rPr>
                <w:sz w:val="17"/>
                <w:szCs w:val="17"/>
              </w:rPr>
            </w:pPr>
            <w:r w:rsidRPr="00746499">
              <w:rPr>
                <w:b/>
                <w:sz w:val="17"/>
                <w:szCs w:val="17"/>
                <w:lang w:val="en-GB"/>
              </w:rPr>
              <w:t>Indicator</w:t>
            </w:r>
            <w:r w:rsidRPr="00746499">
              <w:rPr>
                <w:sz w:val="17"/>
                <w:szCs w:val="17"/>
                <w:lang w:val="en-GB"/>
              </w:rPr>
              <w:t xml:space="preserve">: </w:t>
            </w:r>
            <w:r w:rsidRPr="00746499">
              <w:rPr>
                <w:sz w:val="17"/>
                <w:szCs w:val="17"/>
              </w:rPr>
              <w:t>Employment rate, by sex, age, urban/rural</w:t>
            </w:r>
          </w:p>
          <w:p w14:paraId="2AD6E7AD" w14:textId="77777777" w:rsidR="000C6C81" w:rsidRPr="00746499" w:rsidRDefault="000C6C81" w:rsidP="005555C4">
            <w:pPr>
              <w:rPr>
                <w:b/>
                <w:sz w:val="17"/>
                <w:szCs w:val="17"/>
                <w:lang w:val="en-GB"/>
              </w:rPr>
            </w:pPr>
          </w:p>
          <w:p w14:paraId="1182A04E" w14:textId="77777777" w:rsidR="000C6C81" w:rsidRPr="00746499" w:rsidRDefault="000C6C81" w:rsidP="005555C4">
            <w:pPr>
              <w:rPr>
                <w:sz w:val="17"/>
                <w:szCs w:val="17"/>
                <w:lang w:val="en-GB"/>
              </w:rPr>
            </w:pPr>
            <w:r w:rsidRPr="00746499">
              <w:rPr>
                <w:b/>
                <w:sz w:val="17"/>
                <w:szCs w:val="17"/>
                <w:lang w:val="en-GB"/>
              </w:rPr>
              <w:t>Baseline</w:t>
            </w:r>
            <w:r w:rsidRPr="00746499">
              <w:rPr>
                <w:sz w:val="17"/>
                <w:szCs w:val="17"/>
                <w:lang w:val="en-GB"/>
              </w:rPr>
              <w:t xml:space="preserve"> (2015)</w:t>
            </w:r>
          </w:p>
          <w:p w14:paraId="5B4C9C9D" w14:textId="77777777" w:rsidR="000C6C81" w:rsidRPr="00746499" w:rsidRDefault="000C6C81" w:rsidP="005555C4">
            <w:pPr>
              <w:ind w:left="164"/>
              <w:rPr>
                <w:sz w:val="17"/>
                <w:szCs w:val="17"/>
                <w:lang w:val="en-GB"/>
              </w:rPr>
            </w:pPr>
            <w:r w:rsidRPr="00746499">
              <w:rPr>
                <w:sz w:val="17"/>
                <w:szCs w:val="17"/>
                <w:lang w:val="en-GB"/>
              </w:rPr>
              <w:t>Total: 40.3%</w:t>
            </w:r>
          </w:p>
          <w:p w14:paraId="2521096E" w14:textId="77777777" w:rsidR="000C6C81" w:rsidRPr="00746499" w:rsidRDefault="000C6C81" w:rsidP="005555C4">
            <w:pPr>
              <w:ind w:left="164"/>
              <w:rPr>
                <w:sz w:val="17"/>
                <w:szCs w:val="17"/>
                <w:lang w:val="en-GB"/>
              </w:rPr>
            </w:pPr>
            <w:r w:rsidRPr="00746499">
              <w:rPr>
                <w:sz w:val="17"/>
                <w:szCs w:val="17"/>
                <w:lang w:val="en-GB"/>
              </w:rPr>
              <w:t>Urban: 42%; Rural: 38.9%</w:t>
            </w:r>
          </w:p>
          <w:p w14:paraId="7F7384FE" w14:textId="77777777" w:rsidR="000C6C81" w:rsidRPr="00746499" w:rsidRDefault="000C6C81" w:rsidP="005555C4">
            <w:pPr>
              <w:ind w:left="164"/>
              <w:rPr>
                <w:sz w:val="17"/>
                <w:szCs w:val="17"/>
                <w:lang w:val="en-GB"/>
              </w:rPr>
            </w:pPr>
            <w:r w:rsidRPr="00746499">
              <w:rPr>
                <w:sz w:val="17"/>
                <w:szCs w:val="17"/>
                <w:lang w:val="en-GB"/>
              </w:rPr>
              <w:t>Women: 38.4% (urban 39.5%; rural 37.5%)</w:t>
            </w:r>
          </w:p>
          <w:p w14:paraId="0DC201C8" w14:textId="77777777" w:rsidR="000C6C81" w:rsidRPr="00746499" w:rsidRDefault="000C6C81" w:rsidP="005555C4">
            <w:pPr>
              <w:ind w:left="164"/>
              <w:rPr>
                <w:sz w:val="17"/>
                <w:szCs w:val="17"/>
                <w:lang w:val="en-GB"/>
              </w:rPr>
            </w:pPr>
            <w:r w:rsidRPr="00746499">
              <w:rPr>
                <w:sz w:val="17"/>
                <w:szCs w:val="17"/>
                <w:lang w:val="en-GB"/>
              </w:rPr>
              <w:t>Men: 42.3% (urban 44.9%; rural 40.4%)</w:t>
            </w:r>
          </w:p>
          <w:p w14:paraId="66CB12B9" w14:textId="77777777" w:rsidR="000C6C81" w:rsidRPr="00746499" w:rsidRDefault="000C6C81" w:rsidP="005555C4">
            <w:pPr>
              <w:ind w:left="164"/>
              <w:rPr>
                <w:sz w:val="17"/>
                <w:szCs w:val="17"/>
                <w:lang w:val="en-GB"/>
              </w:rPr>
            </w:pPr>
            <w:r w:rsidRPr="00746499">
              <w:rPr>
                <w:sz w:val="17"/>
                <w:szCs w:val="17"/>
                <w:lang w:val="en-GB"/>
              </w:rPr>
              <w:t>By age: 15-24 years: 18.2%; 25-34 years: 45%; 35-44 years: 58.6%; 45-54 years: 60.6%; 55-64 years: 41.4%</w:t>
            </w:r>
          </w:p>
          <w:p w14:paraId="179A1E79" w14:textId="77777777" w:rsidR="000C6C81" w:rsidRPr="00746499" w:rsidRDefault="000C6C81" w:rsidP="005555C4">
            <w:pPr>
              <w:rPr>
                <w:sz w:val="17"/>
                <w:szCs w:val="17"/>
                <w:lang w:val="en-GB"/>
              </w:rPr>
            </w:pPr>
            <w:r w:rsidRPr="00746499">
              <w:rPr>
                <w:b/>
                <w:sz w:val="17"/>
                <w:szCs w:val="17"/>
                <w:lang w:val="en-GB"/>
              </w:rPr>
              <w:t>Target</w:t>
            </w:r>
            <w:r w:rsidRPr="00746499">
              <w:rPr>
                <w:sz w:val="17"/>
                <w:szCs w:val="17"/>
                <w:lang w:val="en-GB"/>
              </w:rPr>
              <w:t xml:space="preserve"> (2022)</w:t>
            </w:r>
          </w:p>
          <w:p w14:paraId="0E8FC494" w14:textId="77777777" w:rsidR="000C6C81" w:rsidRPr="00746499" w:rsidRDefault="000C6C81" w:rsidP="005555C4">
            <w:pPr>
              <w:ind w:left="164"/>
              <w:rPr>
                <w:sz w:val="17"/>
                <w:szCs w:val="17"/>
                <w:lang w:val="en-GB" w:eastAsia="ro-RO"/>
              </w:rPr>
            </w:pPr>
            <w:r w:rsidRPr="00746499">
              <w:rPr>
                <w:sz w:val="17"/>
                <w:szCs w:val="17"/>
                <w:lang w:val="en-GB" w:eastAsia="ro-RO"/>
              </w:rPr>
              <w:t>Total: 44.1%; Urban: 46.0%; Rural: 42.6%</w:t>
            </w:r>
          </w:p>
          <w:p w14:paraId="3C751338" w14:textId="77777777" w:rsidR="000C6C81" w:rsidRPr="00746499" w:rsidRDefault="000C6C81" w:rsidP="005555C4">
            <w:pPr>
              <w:ind w:left="164"/>
              <w:rPr>
                <w:sz w:val="17"/>
                <w:szCs w:val="17"/>
                <w:lang w:val="en-GB" w:eastAsia="ro-RO"/>
              </w:rPr>
            </w:pPr>
            <w:r w:rsidRPr="00746499">
              <w:rPr>
                <w:sz w:val="17"/>
                <w:szCs w:val="17"/>
                <w:lang w:val="en-GB" w:eastAsia="ro-RO"/>
              </w:rPr>
              <w:t>Women: 42.6. % (urban 43.8%; rural 41.6%)</w:t>
            </w:r>
          </w:p>
          <w:p w14:paraId="726F20AF" w14:textId="77777777" w:rsidR="000C6C81" w:rsidRPr="00746499" w:rsidRDefault="000C6C81" w:rsidP="005555C4">
            <w:pPr>
              <w:ind w:left="164"/>
              <w:rPr>
                <w:sz w:val="17"/>
                <w:szCs w:val="17"/>
                <w:lang w:val="en-GB" w:eastAsia="ro-RO"/>
              </w:rPr>
            </w:pPr>
            <w:r w:rsidRPr="00746499">
              <w:rPr>
                <w:sz w:val="17"/>
                <w:szCs w:val="17"/>
                <w:lang w:val="en-GB" w:eastAsia="ro-RO"/>
              </w:rPr>
              <w:t>Men: 45.6% (urban 48.4%; rural 43.6%)</w:t>
            </w:r>
          </w:p>
          <w:p w14:paraId="2C45D582" w14:textId="77777777" w:rsidR="000C6C81" w:rsidRPr="00746499" w:rsidRDefault="000C6C81" w:rsidP="005555C4">
            <w:pPr>
              <w:ind w:left="164"/>
              <w:rPr>
                <w:sz w:val="17"/>
                <w:szCs w:val="17"/>
                <w:lang w:val="en-GB" w:eastAsia="ro-RO"/>
              </w:rPr>
            </w:pPr>
            <w:r w:rsidRPr="00746499">
              <w:rPr>
                <w:sz w:val="17"/>
                <w:szCs w:val="17"/>
                <w:lang w:val="en-GB" w:eastAsia="ro-RO"/>
              </w:rPr>
              <w:t>By age: 15-24 years: 19.9%; 25-34 years: 49.2%; 35-44 years: 64.1%; 45-54 years: 66.3%; 55-64 years: 45.3%</w:t>
            </w:r>
          </w:p>
          <w:p w14:paraId="0E1CA07D" w14:textId="77777777" w:rsidR="000C6C81" w:rsidRPr="00746499" w:rsidRDefault="000C6C81" w:rsidP="005555C4">
            <w:pPr>
              <w:rPr>
                <w:b/>
                <w:sz w:val="17"/>
                <w:szCs w:val="17"/>
                <w:lang w:eastAsia="ro-RO"/>
              </w:rPr>
            </w:pPr>
            <w:r w:rsidRPr="00746499">
              <w:rPr>
                <w:b/>
                <w:sz w:val="17"/>
                <w:szCs w:val="17"/>
                <w:lang w:eastAsia="ro-RO"/>
              </w:rPr>
              <w:t>Global competitiveness index</w:t>
            </w:r>
          </w:p>
          <w:p w14:paraId="7B45A117" w14:textId="77777777" w:rsidR="000C6C81" w:rsidRPr="00746499" w:rsidRDefault="000C6C81" w:rsidP="005555C4">
            <w:pPr>
              <w:rPr>
                <w:sz w:val="17"/>
                <w:szCs w:val="17"/>
                <w:lang w:eastAsia="ro-RO"/>
              </w:rPr>
            </w:pPr>
            <w:r w:rsidRPr="00746499">
              <w:rPr>
                <w:b/>
                <w:sz w:val="17"/>
                <w:szCs w:val="17"/>
                <w:lang w:eastAsia="ro-RO"/>
              </w:rPr>
              <w:t>Baseline</w:t>
            </w:r>
            <w:r w:rsidRPr="00746499">
              <w:rPr>
                <w:sz w:val="17"/>
                <w:szCs w:val="17"/>
                <w:lang w:eastAsia="ro-RO"/>
              </w:rPr>
              <w:t>: (2015) 4.0</w:t>
            </w:r>
          </w:p>
          <w:p w14:paraId="3941ECB6" w14:textId="77777777" w:rsidR="000C6C81" w:rsidRPr="00746499" w:rsidRDefault="000C6C81" w:rsidP="005555C4">
            <w:pPr>
              <w:rPr>
                <w:b/>
                <w:bCs/>
                <w:color w:val="000000"/>
                <w:sz w:val="17"/>
                <w:szCs w:val="17"/>
                <w:shd w:val="clear" w:color="auto" w:fill="DBE5F1"/>
              </w:rPr>
            </w:pPr>
            <w:r w:rsidRPr="00746499">
              <w:rPr>
                <w:b/>
                <w:sz w:val="17"/>
                <w:szCs w:val="17"/>
                <w:lang w:eastAsia="ro-RO"/>
              </w:rPr>
              <w:t>Target</w:t>
            </w:r>
            <w:r w:rsidRPr="00746499">
              <w:rPr>
                <w:sz w:val="17"/>
                <w:szCs w:val="17"/>
                <w:lang w:eastAsia="ro-RO"/>
              </w:rPr>
              <w:t xml:space="preserve"> (2022) 4.04</w:t>
            </w:r>
          </w:p>
        </w:tc>
        <w:tc>
          <w:tcPr>
            <w:tcW w:w="686" w:type="pct"/>
            <w:gridSpan w:val="2"/>
            <w:vMerge w:val="restart"/>
          </w:tcPr>
          <w:p w14:paraId="3122D79D" w14:textId="77777777" w:rsidR="000C6C81" w:rsidRPr="00746499" w:rsidRDefault="000C6C81" w:rsidP="005555C4">
            <w:pPr>
              <w:rPr>
                <w:color w:val="000000"/>
                <w:sz w:val="17"/>
                <w:szCs w:val="17"/>
              </w:rPr>
            </w:pPr>
            <w:r w:rsidRPr="00746499">
              <w:rPr>
                <w:color w:val="000000"/>
                <w:sz w:val="17"/>
                <w:szCs w:val="17"/>
              </w:rPr>
              <w:lastRenderedPageBreak/>
              <w:t>IRRF Matrix</w:t>
            </w:r>
          </w:p>
          <w:p w14:paraId="20B65F2E" w14:textId="77777777" w:rsidR="000C6C81" w:rsidRPr="00746499" w:rsidRDefault="000C6C81" w:rsidP="005555C4">
            <w:pPr>
              <w:rPr>
                <w:color w:val="000000"/>
                <w:sz w:val="17"/>
                <w:szCs w:val="17"/>
              </w:rPr>
            </w:pPr>
          </w:p>
          <w:p w14:paraId="0F6E2395" w14:textId="77777777" w:rsidR="000C6C81" w:rsidRPr="00746499" w:rsidRDefault="000C6C81" w:rsidP="005555C4">
            <w:pPr>
              <w:rPr>
                <w:color w:val="000000"/>
                <w:sz w:val="17"/>
                <w:szCs w:val="17"/>
              </w:rPr>
            </w:pPr>
            <w:r w:rsidRPr="00746499">
              <w:rPr>
                <w:color w:val="000000"/>
                <w:sz w:val="17"/>
                <w:szCs w:val="17"/>
              </w:rPr>
              <w:lastRenderedPageBreak/>
              <w:t xml:space="preserve">Annual Government and UNDP reports </w:t>
            </w:r>
          </w:p>
          <w:p w14:paraId="0F57C3A1" w14:textId="77777777" w:rsidR="000C6C81" w:rsidRPr="00746499" w:rsidRDefault="000C6C81" w:rsidP="005555C4">
            <w:pPr>
              <w:rPr>
                <w:color w:val="000000"/>
                <w:sz w:val="17"/>
                <w:szCs w:val="17"/>
              </w:rPr>
            </w:pPr>
            <w:r w:rsidRPr="00746499">
              <w:rPr>
                <w:color w:val="000000"/>
                <w:sz w:val="17"/>
                <w:szCs w:val="17"/>
              </w:rPr>
              <w:t>Human Development Report</w:t>
            </w:r>
          </w:p>
          <w:p w14:paraId="34F8A951" w14:textId="77777777" w:rsidR="000C6C81" w:rsidRPr="00746499" w:rsidRDefault="000C6C81" w:rsidP="005555C4">
            <w:pPr>
              <w:rPr>
                <w:color w:val="000000"/>
                <w:sz w:val="17"/>
                <w:szCs w:val="17"/>
              </w:rPr>
            </w:pPr>
          </w:p>
          <w:p w14:paraId="42845A3F" w14:textId="5EC1CB43" w:rsidR="000C6C81" w:rsidRPr="00746499" w:rsidRDefault="000C6C81" w:rsidP="005555C4">
            <w:pPr>
              <w:rPr>
                <w:color w:val="000000"/>
                <w:sz w:val="17"/>
                <w:szCs w:val="17"/>
              </w:rPr>
            </w:pPr>
            <w:r w:rsidRPr="00746499">
              <w:rPr>
                <w:color w:val="000000"/>
                <w:sz w:val="17"/>
                <w:szCs w:val="17"/>
              </w:rPr>
              <w:t>W</w:t>
            </w:r>
            <w:r w:rsidR="00C05C08" w:rsidRPr="00746499">
              <w:rPr>
                <w:color w:val="000000"/>
                <w:sz w:val="17"/>
                <w:szCs w:val="17"/>
              </w:rPr>
              <w:t xml:space="preserve">orld </w:t>
            </w:r>
            <w:r w:rsidRPr="00746499">
              <w:rPr>
                <w:color w:val="000000"/>
                <w:sz w:val="17"/>
                <w:szCs w:val="17"/>
              </w:rPr>
              <w:t>B</w:t>
            </w:r>
            <w:r w:rsidR="00C05C08" w:rsidRPr="00746499">
              <w:rPr>
                <w:color w:val="000000"/>
                <w:sz w:val="17"/>
                <w:szCs w:val="17"/>
              </w:rPr>
              <w:t>ank</w:t>
            </w:r>
            <w:r w:rsidRPr="00746499">
              <w:rPr>
                <w:color w:val="000000"/>
                <w:sz w:val="17"/>
                <w:szCs w:val="17"/>
              </w:rPr>
              <w:t xml:space="preserve"> Doing Business Report</w:t>
            </w:r>
          </w:p>
          <w:p w14:paraId="6A870A36" w14:textId="77777777" w:rsidR="000C6C81" w:rsidRPr="00746499" w:rsidRDefault="000C6C81" w:rsidP="005555C4">
            <w:pPr>
              <w:rPr>
                <w:b/>
                <w:bCs/>
                <w:color w:val="000000"/>
                <w:sz w:val="17"/>
                <w:szCs w:val="17"/>
                <w:shd w:val="clear" w:color="auto" w:fill="DBE5F1"/>
              </w:rPr>
            </w:pPr>
          </w:p>
        </w:tc>
        <w:tc>
          <w:tcPr>
            <w:tcW w:w="1528" w:type="pct"/>
            <w:gridSpan w:val="2"/>
            <w:vMerge w:val="restart"/>
            <w:tcMar>
              <w:top w:w="72" w:type="dxa"/>
              <w:left w:w="144" w:type="dxa"/>
              <w:bottom w:w="72" w:type="dxa"/>
              <w:right w:w="144" w:type="dxa"/>
            </w:tcMar>
          </w:tcPr>
          <w:p w14:paraId="599FA5F6" w14:textId="77777777" w:rsidR="000C6C81" w:rsidRPr="00746499" w:rsidRDefault="000C6C81" w:rsidP="005555C4">
            <w:pPr>
              <w:jc w:val="both"/>
              <w:rPr>
                <w:b/>
                <w:bCs/>
                <w:sz w:val="17"/>
                <w:szCs w:val="17"/>
              </w:rPr>
            </w:pPr>
            <w:r w:rsidRPr="00746499">
              <w:rPr>
                <w:b/>
                <w:bCs/>
                <w:sz w:val="17"/>
                <w:szCs w:val="17"/>
              </w:rPr>
              <w:lastRenderedPageBreak/>
              <w:t xml:space="preserve">OUTPUT 2.1. Public institutions and private entities have improved capacities to design and implement innovative policies for inclusive, resilient economic growth </w:t>
            </w:r>
          </w:p>
          <w:p w14:paraId="5CAEC13B" w14:textId="77777777" w:rsidR="000C6C81" w:rsidRPr="00746499" w:rsidRDefault="000C6C81" w:rsidP="005555C4">
            <w:pPr>
              <w:jc w:val="both"/>
              <w:rPr>
                <w:b/>
                <w:bCs/>
                <w:sz w:val="17"/>
                <w:szCs w:val="17"/>
              </w:rPr>
            </w:pPr>
          </w:p>
          <w:p w14:paraId="3737DFBB" w14:textId="1920F2E3" w:rsidR="000C6C81" w:rsidRPr="00746499" w:rsidRDefault="000C6C81" w:rsidP="005555C4">
            <w:pPr>
              <w:jc w:val="both"/>
              <w:rPr>
                <w:i/>
                <w:color w:val="0000FF"/>
                <w:sz w:val="17"/>
                <w:szCs w:val="17"/>
              </w:rPr>
            </w:pPr>
            <w:r w:rsidRPr="00746499">
              <w:rPr>
                <w:b/>
                <w:bCs/>
                <w:sz w:val="17"/>
                <w:szCs w:val="17"/>
              </w:rPr>
              <w:t>Indicator 2.1.1:</w:t>
            </w:r>
            <w:r w:rsidRPr="00746499">
              <w:rPr>
                <w:sz w:val="17"/>
                <w:szCs w:val="17"/>
              </w:rPr>
              <w:t xml:space="preserve"> Extent to which policies, systems and/or institutional measures are in place at the national and subnational levels to generate and strengthen employment and livelihoods</w:t>
            </w:r>
            <w:r w:rsidRPr="00746499">
              <w:rPr>
                <w:rStyle w:val="FootnoteReference"/>
                <w:sz w:val="17"/>
                <w:szCs w:val="17"/>
              </w:rPr>
              <w:footnoteReference w:id="23"/>
            </w:r>
          </w:p>
          <w:p w14:paraId="758EE6F7" w14:textId="77777777" w:rsidR="000C6C81" w:rsidRPr="00746499" w:rsidRDefault="000C6C81" w:rsidP="005555C4">
            <w:pPr>
              <w:jc w:val="both"/>
              <w:rPr>
                <w:sz w:val="17"/>
                <w:szCs w:val="17"/>
              </w:rPr>
            </w:pPr>
            <w:r w:rsidRPr="00746499">
              <w:rPr>
                <w:b/>
                <w:sz w:val="17"/>
                <w:szCs w:val="17"/>
              </w:rPr>
              <w:t xml:space="preserve">Baseline </w:t>
            </w:r>
            <w:r w:rsidRPr="00746499">
              <w:rPr>
                <w:sz w:val="17"/>
                <w:szCs w:val="17"/>
              </w:rPr>
              <w:t>(2016)</w:t>
            </w:r>
            <w:r w:rsidRPr="00746499">
              <w:rPr>
                <w:b/>
                <w:sz w:val="17"/>
                <w:szCs w:val="17"/>
              </w:rPr>
              <w:t>:</w:t>
            </w:r>
            <w:r w:rsidRPr="00746499">
              <w:rPr>
                <w:sz w:val="17"/>
                <w:szCs w:val="17"/>
              </w:rPr>
              <w:t xml:space="preserve"> 2 (very partially) </w:t>
            </w:r>
          </w:p>
          <w:p w14:paraId="063F905D" w14:textId="77777777" w:rsidR="000C6C81" w:rsidRPr="00746499" w:rsidRDefault="000C6C81" w:rsidP="005555C4">
            <w:pPr>
              <w:jc w:val="both"/>
              <w:rPr>
                <w:sz w:val="17"/>
                <w:szCs w:val="17"/>
              </w:rPr>
            </w:pPr>
            <w:r w:rsidRPr="00746499">
              <w:rPr>
                <w:b/>
                <w:sz w:val="17"/>
                <w:szCs w:val="17"/>
              </w:rPr>
              <w:t>Target:</w:t>
            </w:r>
            <w:r w:rsidRPr="00746499">
              <w:rPr>
                <w:sz w:val="17"/>
                <w:szCs w:val="17"/>
              </w:rPr>
              <w:t xml:space="preserve"> 3 (partially) </w:t>
            </w:r>
          </w:p>
          <w:p w14:paraId="4F91F25C" w14:textId="77777777" w:rsidR="000C6C81" w:rsidRPr="00746499" w:rsidRDefault="000C6C81" w:rsidP="005555C4">
            <w:pPr>
              <w:jc w:val="both"/>
              <w:rPr>
                <w:sz w:val="17"/>
                <w:szCs w:val="17"/>
                <w:lang w:val="en-GB"/>
              </w:rPr>
            </w:pPr>
            <w:r w:rsidRPr="00746499">
              <w:rPr>
                <w:b/>
                <w:sz w:val="17"/>
                <w:szCs w:val="17"/>
              </w:rPr>
              <w:t>Means of verification:</w:t>
            </w:r>
            <w:r w:rsidRPr="00746499">
              <w:rPr>
                <w:sz w:val="17"/>
                <w:szCs w:val="17"/>
              </w:rPr>
              <w:t xml:space="preserve"> </w:t>
            </w:r>
            <w:r w:rsidRPr="00746499">
              <w:rPr>
                <w:sz w:val="17"/>
                <w:szCs w:val="17"/>
                <w:lang w:val="en-GB"/>
              </w:rPr>
              <w:t xml:space="preserve">National policy papers, UNDP reports </w:t>
            </w:r>
          </w:p>
          <w:p w14:paraId="2D0BA491" w14:textId="77777777" w:rsidR="000C6C81" w:rsidRPr="00746499" w:rsidRDefault="000C6C81" w:rsidP="005555C4">
            <w:pPr>
              <w:jc w:val="both"/>
              <w:rPr>
                <w:sz w:val="17"/>
                <w:szCs w:val="17"/>
                <w:lang w:val="en-GB"/>
              </w:rPr>
            </w:pPr>
          </w:p>
          <w:p w14:paraId="32B50CCB" w14:textId="77777777" w:rsidR="000C6C81" w:rsidRPr="00746499" w:rsidRDefault="000C6C81" w:rsidP="005555C4">
            <w:pPr>
              <w:jc w:val="both"/>
              <w:rPr>
                <w:sz w:val="17"/>
                <w:szCs w:val="17"/>
              </w:rPr>
            </w:pPr>
            <w:r w:rsidRPr="00746499">
              <w:rPr>
                <w:b/>
                <w:bCs/>
                <w:sz w:val="17"/>
                <w:szCs w:val="17"/>
              </w:rPr>
              <w:t>Indicator 2.1.2</w:t>
            </w:r>
            <w:r w:rsidRPr="00746499">
              <w:rPr>
                <w:sz w:val="17"/>
                <w:szCs w:val="17"/>
              </w:rPr>
              <w:t>: Number of companies that benefit from improved business advisory support and share of those led by women, youth, minority groups</w:t>
            </w:r>
          </w:p>
          <w:p w14:paraId="66B89179" w14:textId="77777777" w:rsidR="000C6C81" w:rsidRPr="00746499" w:rsidRDefault="000C6C81" w:rsidP="005555C4">
            <w:pPr>
              <w:jc w:val="both"/>
              <w:rPr>
                <w:sz w:val="17"/>
                <w:szCs w:val="17"/>
              </w:rPr>
            </w:pPr>
            <w:r w:rsidRPr="00746499">
              <w:rPr>
                <w:b/>
                <w:sz w:val="17"/>
                <w:szCs w:val="17"/>
              </w:rPr>
              <w:t xml:space="preserve">Baseline </w:t>
            </w:r>
            <w:r w:rsidRPr="00746499">
              <w:rPr>
                <w:sz w:val="17"/>
                <w:szCs w:val="17"/>
              </w:rPr>
              <w:t>(2016)</w:t>
            </w:r>
            <w:r w:rsidRPr="00746499">
              <w:rPr>
                <w:b/>
                <w:sz w:val="17"/>
                <w:szCs w:val="17"/>
              </w:rPr>
              <w:t>:</w:t>
            </w:r>
            <w:r w:rsidRPr="00746499">
              <w:rPr>
                <w:sz w:val="17"/>
                <w:szCs w:val="17"/>
              </w:rPr>
              <w:t xml:space="preserve"> 0 </w:t>
            </w:r>
          </w:p>
          <w:p w14:paraId="51B1C4F8" w14:textId="77777777" w:rsidR="000C6C81" w:rsidRPr="00746499" w:rsidRDefault="000C6C81" w:rsidP="005555C4">
            <w:pPr>
              <w:jc w:val="both"/>
              <w:rPr>
                <w:sz w:val="17"/>
                <w:szCs w:val="17"/>
              </w:rPr>
            </w:pPr>
            <w:r w:rsidRPr="00746499">
              <w:rPr>
                <w:b/>
                <w:sz w:val="17"/>
                <w:szCs w:val="17"/>
              </w:rPr>
              <w:t>Target:</w:t>
            </w:r>
            <w:r w:rsidRPr="00746499">
              <w:rPr>
                <w:sz w:val="17"/>
                <w:szCs w:val="17"/>
              </w:rPr>
              <w:t xml:space="preserve"> 300, at least 30% led by women and 30% led by youth, 15% minority groups</w:t>
            </w:r>
          </w:p>
          <w:p w14:paraId="2BDE3B28" w14:textId="77777777" w:rsidR="000C6C81" w:rsidRPr="00746499" w:rsidRDefault="000C6C81" w:rsidP="005555C4">
            <w:pPr>
              <w:jc w:val="both"/>
              <w:rPr>
                <w:sz w:val="17"/>
                <w:szCs w:val="17"/>
              </w:rPr>
            </w:pPr>
            <w:r w:rsidRPr="00746499">
              <w:rPr>
                <w:b/>
                <w:sz w:val="17"/>
                <w:szCs w:val="17"/>
              </w:rPr>
              <w:t>Means of verification:</w:t>
            </w:r>
            <w:r w:rsidRPr="00746499">
              <w:rPr>
                <w:sz w:val="17"/>
                <w:szCs w:val="17"/>
              </w:rPr>
              <w:t xml:space="preserve"> </w:t>
            </w:r>
            <w:r w:rsidRPr="00746499">
              <w:rPr>
                <w:sz w:val="17"/>
                <w:szCs w:val="17"/>
                <w:lang w:eastAsia="uz-Cyrl-UZ"/>
              </w:rPr>
              <w:t>UNDP/ C</w:t>
            </w:r>
            <w:r w:rsidRPr="00746499">
              <w:rPr>
                <w:sz w:val="17"/>
                <w:szCs w:val="17"/>
              </w:rPr>
              <w:t>hamber/s of Commerce reports</w:t>
            </w:r>
          </w:p>
          <w:p w14:paraId="079037F0" w14:textId="77777777" w:rsidR="000C6C81" w:rsidRPr="00746499" w:rsidRDefault="000C6C81" w:rsidP="005555C4">
            <w:pPr>
              <w:jc w:val="both"/>
              <w:rPr>
                <w:b/>
                <w:bCs/>
                <w:sz w:val="17"/>
                <w:szCs w:val="17"/>
              </w:rPr>
            </w:pPr>
          </w:p>
          <w:p w14:paraId="42BEB3D3" w14:textId="3634393E" w:rsidR="000C6C81" w:rsidRPr="00746499" w:rsidRDefault="000C6C81" w:rsidP="005555C4">
            <w:pPr>
              <w:rPr>
                <w:sz w:val="17"/>
                <w:szCs w:val="17"/>
              </w:rPr>
            </w:pPr>
            <w:r w:rsidRPr="00746499">
              <w:rPr>
                <w:b/>
                <w:bCs/>
                <w:sz w:val="17"/>
                <w:szCs w:val="17"/>
              </w:rPr>
              <w:t>Indicator 2.1.3:</w:t>
            </w:r>
            <w:r w:rsidRPr="00746499">
              <w:rPr>
                <w:sz w:val="17"/>
                <w:szCs w:val="17"/>
              </w:rPr>
              <w:t xml:space="preserve"> Number of new partnerships</w:t>
            </w:r>
            <w:r w:rsidRPr="00746499">
              <w:rPr>
                <w:rStyle w:val="FootnoteReference"/>
                <w:sz w:val="17"/>
                <w:szCs w:val="17"/>
              </w:rPr>
              <w:footnoteReference w:id="24"/>
            </w:r>
            <w:r w:rsidRPr="00746499">
              <w:rPr>
                <w:sz w:val="17"/>
                <w:szCs w:val="17"/>
              </w:rPr>
              <w:t xml:space="preserve"> between businesses which generate new jobs and improve livelihoods, including </w:t>
            </w:r>
            <w:r w:rsidR="00F37C6B" w:rsidRPr="00746499">
              <w:rPr>
                <w:sz w:val="17"/>
                <w:szCs w:val="17"/>
              </w:rPr>
              <w:t>Autonomous Territorial Unit (</w:t>
            </w:r>
            <w:r w:rsidRPr="00746499">
              <w:rPr>
                <w:sz w:val="17"/>
                <w:szCs w:val="17"/>
              </w:rPr>
              <w:t>ATU</w:t>
            </w:r>
            <w:r w:rsidR="00F37C6B" w:rsidRPr="00746499">
              <w:rPr>
                <w:sz w:val="17"/>
                <w:szCs w:val="17"/>
              </w:rPr>
              <w:t>)  of</w:t>
            </w:r>
            <w:r w:rsidRPr="00746499">
              <w:rPr>
                <w:sz w:val="17"/>
                <w:szCs w:val="17"/>
              </w:rPr>
              <w:t xml:space="preserve"> Gagauzia and across the conflict divide  </w:t>
            </w:r>
            <w:r w:rsidRPr="00746499">
              <w:rPr>
                <w:sz w:val="17"/>
                <w:szCs w:val="17"/>
              </w:rPr>
              <w:br/>
            </w:r>
            <w:r w:rsidRPr="00746499">
              <w:rPr>
                <w:b/>
                <w:sz w:val="17"/>
                <w:szCs w:val="17"/>
              </w:rPr>
              <w:t xml:space="preserve">Baseline </w:t>
            </w:r>
            <w:r w:rsidRPr="00746499">
              <w:rPr>
                <w:sz w:val="17"/>
                <w:szCs w:val="17"/>
              </w:rPr>
              <w:t>(2016): 0  </w:t>
            </w:r>
          </w:p>
          <w:p w14:paraId="290583FD" w14:textId="77777777" w:rsidR="000C6C81" w:rsidRPr="00746499" w:rsidRDefault="000C6C81" w:rsidP="005555C4">
            <w:pPr>
              <w:jc w:val="both"/>
              <w:rPr>
                <w:sz w:val="17"/>
                <w:szCs w:val="17"/>
              </w:rPr>
            </w:pPr>
            <w:r w:rsidRPr="00746499">
              <w:rPr>
                <w:b/>
                <w:sz w:val="17"/>
                <w:szCs w:val="17"/>
              </w:rPr>
              <w:t>Target:</w:t>
            </w:r>
            <w:r w:rsidRPr="00746499">
              <w:rPr>
                <w:sz w:val="17"/>
                <w:szCs w:val="17"/>
              </w:rPr>
              <w:t> 150 (including 50 in ATU Gagauzia and across conflict divide)</w:t>
            </w:r>
          </w:p>
          <w:p w14:paraId="07C87E3F" w14:textId="0A033654" w:rsidR="000C6C81" w:rsidRPr="006D5EA9" w:rsidRDefault="000C6C81" w:rsidP="006D5EA9">
            <w:pPr>
              <w:jc w:val="both"/>
              <w:rPr>
                <w:sz w:val="17"/>
                <w:szCs w:val="17"/>
                <w:lang w:eastAsia="uz-Cyrl-UZ"/>
              </w:rPr>
            </w:pPr>
            <w:r w:rsidRPr="00746499">
              <w:rPr>
                <w:b/>
                <w:sz w:val="17"/>
                <w:szCs w:val="17"/>
              </w:rPr>
              <w:t>Means of verification:</w:t>
            </w:r>
            <w:r w:rsidRPr="00746499">
              <w:rPr>
                <w:sz w:val="17"/>
                <w:szCs w:val="17"/>
              </w:rPr>
              <w:t xml:space="preserve"> </w:t>
            </w:r>
            <w:r w:rsidRPr="00746499">
              <w:rPr>
                <w:sz w:val="17"/>
                <w:szCs w:val="17"/>
                <w:lang w:eastAsia="uz-Cyrl-UZ"/>
              </w:rPr>
              <w:t>UNDP reports</w:t>
            </w:r>
          </w:p>
        </w:tc>
        <w:tc>
          <w:tcPr>
            <w:tcW w:w="770" w:type="pct"/>
            <w:gridSpan w:val="2"/>
            <w:vMerge w:val="restart"/>
          </w:tcPr>
          <w:p w14:paraId="319FF53A" w14:textId="1FABD038" w:rsidR="000C6C81" w:rsidRPr="00746499" w:rsidRDefault="000C6C81" w:rsidP="00F37C6B">
            <w:pPr>
              <w:rPr>
                <w:sz w:val="17"/>
                <w:szCs w:val="17"/>
              </w:rPr>
            </w:pPr>
            <w:r w:rsidRPr="00746499">
              <w:rPr>
                <w:sz w:val="17"/>
                <w:szCs w:val="17"/>
              </w:rPr>
              <w:t>Ministry of Economy</w:t>
            </w:r>
            <w:r w:rsidR="00625423" w:rsidRPr="00746499">
              <w:rPr>
                <w:sz w:val="17"/>
                <w:szCs w:val="17"/>
              </w:rPr>
              <w:t xml:space="preserve"> </w:t>
            </w:r>
          </w:p>
          <w:p w14:paraId="28A8FE69" w14:textId="369843D5" w:rsidR="000C6C81" w:rsidRPr="00746499" w:rsidRDefault="000C6C81" w:rsidP="005555C4">
            <w:pPr>
              <w:jc w:val="both"/>
              <w:rPr>
                <w:sz w:val="17"/>
                <w:szCs w:val="17"/>
              </w:rPr>
            </w:pPr>
          </w:p>
          <w:p w14:paraId="706EBE8D" w14:textId="142446F7" w:rsidR="000C6C81" w:rsidRPr="00746499" w:rsidRDefault="000C6C81" w:rsidP="00F37C6B">
            <w:pPr>
              <w:rPr>
                <w:sz w:val="17"/>
                <w:szCs w:val="17"/>
              </w:rPr>
            </w:pPr>
            <w:r w:rsidRPr="00746499">
              <w:rPr>
                <w:sz w:val="17"/>
                <w:szCs w:val="17"/>
              </w:rPr>
              <w:lastRenderedPageBreak/>
              <w:t>Ministry of Labor, Social Protection and Family</w:t>
            </w:r>
          </w:p>
          <w:p w14:paraId="63910DCC" w14:textId="4EC33863" w:rsidR="000C6C81" w:rsidRPr="00746499" w:rsidRDefault="000C6C81" w:rsidP="005555C4">
            <w:pPr>
              <w:jc w:val="both"/>
              <w:rPr>
                <w:sz w:val="17"/>
                <w:szCs w:val="17"/>
              </w:rPr>
            </w:pPr>
            <w:r w:rsidRPr="00746499">
              <w:rPr>
                <w:sz w:val="17"/>
                <w:szCs w:val="17"/>
              </w:rPr>
              <w:t xml:space="preserve">Ministry of Education </w:t>
            </w:r>
          </w:p>
          <w:p w14:paraId="4ECB3E93" w14:textId="325712D2" w:rsidR="000C6C81" w:rsidRPr="00746499" w:rsidRDefault="000C6C81" w:rsidP="008B260D">
            <w:pPr>
              <w:jc w:val="both"/>
              <w:rPr>
                <w:sz w:val="17"/>
                <w:szCs w:val="17"/>
              </w:rPr>
            </w:pPr>
            <w:r w:rsidRPr="00746499">
              <w:rPr>
                <w:sz w:val="17"/>
                <w:szCs w:val="17"/>
              </w:rPr>
              <w:t xml:space="preserve">National Employment Agency </w:t>
            </w:r>
          </w:p>
          <w:p w14:paraId="662C63B8" w14:textId="77777777" w:rsidR="000C6C81" w:rsidRPr="00746499" w:rsidRDefault="000C6C81" w:rsidP="008B260D">
            <w:pPr>
              <w:jc w:val="both"/>
              <w:rPr>
                <w:sz w:val="17"/>
                <w:szCs w:val="17"/>
              </w:rPr>
            </w:pPr>
            <w:r w:rsidRPr="00746499">
              <w:rPr>
                <w:sz w:val="17"/>
                <w:szCs w:val="17"/>
              </w:rPr>
              <w:t>ILO, IOM</w:t>
            </w:r>
          </w:p>
          <w:p w14:paraId="68EA73FD" w14:textId="77777777" w:rsidR="007976ED" w:rsidRPr="00746499" w:rsidRDefault="007976ED" w:rsidP="007976ED">
            <w:pPr>
              <w:rPr>
                <w:b/>
                <w:bCs/>
                <w:color w:val="000000"/>
                <w:sz w:val="17"/>
                <w:szCs w:val="17"/>
                <w:shd w:val="clear" w:color="auto" w:fill="DBE5F1"/>
              </w:rPr>
            </w:pPr>
            <w:r w:rsidRPr="00746499">
              <w:rPr>
                <w:sz w:val="17"/>
                <w:szCs w:val="17"/>
              </w:rPr>
              <w:t>Regional and local authorities</w:t>
            </w:r>
          </w:p>
          <w:p w14:paraId="0699590B" w14:textId="77777777" w:rsidR="003D02D5" w:rsidRPr="00746499" w:rsidRDefault="00E82C9A" w:rsidP="008B260D">
            <w:pPr>
              <w:jc w:val="both"/>
              <w:rPr>
                <w:sz w:val="17"/>
                <w:szCs w:val="17"/>
              </w:rPr>
            </w:pPr>
            <w:r w:rsidRPr="00746499">
              <w:rPr>
                <w:sz w:val="17"/>
                <w:szCs w:val="17"/>
              </w:rPr>
              <w:t>EU</w:t>
            </w:r>
          </w:p>
          <w:p w14:paraId="4FFA6D46" w14:textId="5976DC24" w:rsidR="000C6C81" w:rsidRPr="00746499" w:rsidRDefault="00E82C9A" w:rsidP="008B260D">
            <w:pPr>
              <w:jc w:val="both"/>
              <w:rPr>
                <w:sz w:val="17"/>
                <w:szCs w:val="17"/>
              </w:rPr>
            </w:pPr>
            <w:r w:rsidRPr="00746499">
              <w:rPr>
                <w:sz w:val="17"/>
                <w:szCs w:val="17"/>
              </w:rPr>
              <w:t xml:space="preserve">Sweden </w:t>
            </w:r>
          </w:p>
          <w:p w14:paraId="553EF1B1" w14:textId="77777777" w:rsidR="000C6C81" w:rsidRPr="00746499" w:rsidRDefault="000C6C81" w:rsidP="005555C4">
            <w:pPr>
              <w:jc w:val="both"/>
              <w:rPr>
                <w:sz w:val="17"/>
                <w:szCs w:val="17"/>
              </w:rPr>
            </w:pPr>
            <w:r w:rsidRPr="00746499">
              <w:rPr>
                <w:sz w:val="17"/>
                <w:szCs w:val="17"/>
              </w:rPr>
              <w:t>Private sector</w:t>
            </w:r>
          </w:p>
          <w:p w14:paraId="7634BB9D" w14:textId="6ACAF647" w:rsidR="000C6C81" w:rsidRPr="00746499" w:rsidRDefault="000C6C81" w:rsidP="005555C4">
            <w:pPr>
              <w:jc w:val="both"/>
              <w:rPr>
                <w:b/>
                <w:bCs/>
                <w:color w:val="000000"/>
                <w:sz w:val="17"/>
                <w:szCs w:val="17"/>
                <w:shd w:val="clear" w:color="auto" w:fill="DBE5F1"/>
              </w:rPr>
            </w:pPr>
            <w:r w:rsidRPr="00746499">
              <w:rPr>
                <w:sz w:val="17"/>
                <w:szCs w:val="17"/>
              </w:rPr>
              <w:t xml:space="preserve">Chambers of Commerce </w:t>
            </w:r>
          </w:p>
        </w:tc>
        <w:tc>
          <w:tcPr>
            <w:tcW w:w="706" w:type="pct"/>
            <w:gridSpan w:val="2"/>
            <w:tcMar>
              <w:top w:w="15" w:type="dxa"/>
              <w:left w:w="108" w:type="dxa"/>
              <w:bottom w:w="0" w:type="dxa"/>
              <w:right w:w="108" w:type="dxa"/>
            </w:tcMar>
          </w:tcPr>
          <w:p w14:paraId="600E5C16" w14:textId="50F3266E" w:rsidR="000C6C81" w:rsidRPr="00746499" w:rsidRDefault="000C6C81" w:rsidP="005555C4">
            <w:pPr>
              <w:rPr>
                <w:b/>
                <w:color w:val="000000"/>
                <w:sz w:val="17"/>
                <w:szCs w:val="17"/>
              </w:rPr>
            </w:pPr>
            <w:r w:rsidRPr="00746499">
              <w:rPr>
                <w:b/>
                <w:color w:val="000000"/>
                <w:sz w:val="17"/>
                <w:szCs w:val="17"/>
              </w:rPr>
              <w:lastRenderedPageBreak/>
              <w:t>Regular: 1,</w:t>
            </w:r>
            <w:r w:rsidR="00FE4ECF" w:rsidRPr="00746499">
              <w:rPr>
                <w:b/>
                <w:color w:val="000000"/>
                <w:sz w:val="17"/>
                <w:szCs w:val="17"/>
              </w:rPr>
              <w:t>0</w:t>
            </w:r>
            <w:r w:rsidR="00D93575" w:rsidRPr="00746499">
              <w:rPr>
                <w:b/>
                <w:color w:val="000000"/>
                <w:sz w:val="17"/>
                <w:szCs w:val="17"/>
              </w:rPr>
              <w:t>00</w:t>
            </w:r>
            <w:r w:rsidRPr="00746499">
              <w:rPr>
                <w:b/>
                <w:color w:val="000000"/>
                <w:sz w:val="17"/>
                <w:szCs w:val="17"/>
              </w:rPr>
              <w:t>,000</w:t>
            </w:r>
          </w:p>
          <w:p w14:paraId="21EFA11E" w14:textId="41B726EC" w:rsidR="000C6C81" w:rsidRPr="00746499" w:rsidRDefault="000C6C81" w:rsidP="00C1691C">
            <w:pPr>
              <w:rPr>
                <w:b/>
                <w:bCs/>
                <w:color w:val="000000"/>
                <w:sz w:val="17"/>
                <w:szCs w:val="17"/>
                <w:shd w:val="clear" w:color="auto" w:fill="DBE5F1"/>
              </w:rPr>
            </w:pPr>
          </w:p>
        </w:tc>
      </w:tr>
      <w:tr w:rsidR="000C6C81" w:rsidRPr="00746499" w14:paraId="0F38ED96" w14:textId="77777777" w:rsidTr="006C3F11">
        <w:trPr>
          <w:gridAfter w:val="1"/>
          <w:wAfter w:w="18" w:type="pct"/>
        </w:trPr>
        <w:tc>
          <w:tcPr>
            <w:tcW w:w="1292" w:type="pct"/>
            <w:vMerge/>
            <w:tcMar>
              <w:top w:w="72" w:type="dxa"/>
              <w:left w:w="144" w:type="dxa"/>
              <w:bottom w:w="72" w:type="dxa"/>
              <w:right w:w="144" w:type="dxa"/>
            </w:tcMar>
          </w:tcPr>
          <w:p w14:paraId="309FAFCF" w14:textId="77777777" w:rsidR="000C6C81" w:rsidRPr="00746499" w:rsidRDefault="000C6C81" w:rsidP="005555C4">
            <w:pPr>
              <w:rPr>
                <w:b/>
                <w:sz w:val="17"/>
                <w:szCs w:val="17"/>
                <w:lang w:val="en-GB"/>
              </w:rPr>
            </w:pPr>
          </w:p>
        </w:tc>
        <w:tc>
          <w:tcPr>
            <w:tcW w:w="686" w:type="pct"/>
            <w:gridSpan w:val="2"/>
            <w:vMerge/>
          </w:tcPr>
          <w:p w14:paraId="7928661F" w14:textId="77777777" w:rsidR="000C6C81" w:rsidRPr="00746499" w:rsidRDefault="000C6C81" w:rsidP="005555C4">
            <w:pPr>
              <w:rPr>
                <w:color w:val="000000"/>
                <w:sz w:val="17"/>
                <w:szCs w:val="17"/>
              </w:rPr>
            </w:pPr>
          </w:p>
        </w:tc>
        <w:tc>
          <w:tcPr>
            <w:tcW w:w="1528" w:type="pct"/>
            <w:gridSpan w:val="2"/>
            <w:vMerge/>
            <w:tcMar>
              <w:top w:w="72" w:type="dxa"/>
              <w:left w:w="144" w:type="dxa"/>
              <w:bottom w:w="72" w:type="dxa"/>
              <w:right w:w="144" w:type="dxa"/>
            </w:tcMar>
          </w:tcPr>
          <w:p w14:paraId="1DE2BB5F" w14:textId="77777777" w:rsidR="000C6C81" w:rsidRPr="00746499" w:rsidRDefault="000C6C81" w:rsidP="005555C4">
            <w:pPr>
              <w:jc w:val="both"/>
              <w:rPr>
                <w:b/>
                <w:bCs/>
                <w:sz w:val="17"/>
                <w:szCs w:val="17"/>
              </w:rPr>
            </w:pPr>
          </w:p>
        </w:tc>
        <w:tc>
          <w:tcPr>
            <w:tcW w:w="770" w:type="pct"/>
            <w:gridSpan w:val="2"/>
            <w:vMerge/>
          </w:tcPr>
          <w:p w14:paraId="1E3AF060" w14:textId="35A18DE0" w:rsidR="000C6C81" w:rsidRPr="00746499" w:rsidRDefault="000C6C81" w:rsidP="005555C4">
            <w:pPr>
              <w:jc w:val="both"/>
              <w:rPr>
                <w:sz w:val="17"/>
                <w:szCs w:val="17"/>
              </w:rPr>
            </w:pPr>
          </w:p>
        </w:tc>
        <w:tc>
          <w:tcPr>
            <w:tcW w:w="706" w:type="pct"/>
            <w:gridSpan w:val="2"/>
            <w:tcMar>
              <w:top w:w="15" w:type="dxa"/>
              <w:left w:w="108" w:type="dxa"/>
              <w:bottom w:w="0" w:type="dxa"/>
              <w:right w:w="108" w:type="dxa"/>
            </w:tcMar>
          </w:tcPr>
          <w:p w14:paraId="56244394" w14:textId="08911039" w:rsidR="000C6C81" w:rsidRPr="00746499" w:rsidRDefault="000C6C81" w:rsidP="005555C4">
            <w:pPr>
              <w:rPr>
                <w:b/>
                <w:color w:val="000000"/>
                <w:sz w:val="17"/>
                <w:szCs w:val="17"/>
              </w:rPr>
            </w:pPr>
            <w:r w:rsidRPr="00746499">
              <w:rPr>
                <w:b/>
                <w:color w:val="000000"/>
                <w:sz w:val="17"/>
                <w:szCs w:val="17"/>
              </w:rPr>
              <w:t>Other: 32,8</w:t>
            </w:r>
            <w:r w:rsidR="00D93575" w:rsidRPr="00746499">
              <w:rPr>
                <w:b/>
                <w:color w:val="000000"/>
                <w:sz w:val="17"/>
                <w:szCs w:val="17"/>
              </w:rPr>
              <w:t>5</w:t>
            </w:r>
            <w:r w:rsidRPr="00746499">
              <w:rPr>
                <w:b/>
                <w:color w:val="000000"/>
                <w:sz w:val="17"/>
                <w:szCs w:val="17"/>
              </w:rPr>
              <w:t>7,000</w:t>
            </w:r>
          </w:p>
          <w:p w14:paraId="48416127" w14:textId="77777777" w:rsidR="000C6C81" w:rsidRPr="00746499" w:rsidRDefault="000C6C81" w:rsidP="005555C4">
            <w:pPr>
              <w:rPr>
                <w:b/>
                <w:color w:val="000000"/>
                <w:sz w:val="17"/>
                <w:szCs w:val="17"/>
              </w:rPr>
            </w:pPr>
          </w:p>
        </w:tc>
      </w:tr>
      <w:tr w:rsidR="000C6C81" w:rsidRPr="00746499" w14:paraId="7EB3E3C5" w14:textId="77777777" w:rsidTr="006C3F11">
        <w:trPr>
          <w:gridAfter w:val="1"/>
          <w:wAfter w:w="18" w:type="pct"/>
        </w:trPr>
        <w:tc>
          <w:tcPr>
            <w:tcW w:w="1292" w:type="pct"/>
            <w:tcMar>
              <w:top w:w="72" w:type="dxa"/>
              <w:left w:w="144" w:type="dxa"/>
              <w:bottom w:w="72" w:type="dxa"/>
              <w:right w:w="144" w:type="dxa"/>
            </w:tcMar>
          </w:tcPr>
          <w:p w14:paraId="15FF53DC" w14:textId="77777777" w:rsidR="000C6C81" w:rsidRPr="00746499" w:rsidRDefault="000C6C81" w:rsidP="005555C4">
            <w:pPr>
              <w:rPr>
                <w:sz w:val="17"/>
                <w:szCs w:val="17"/>
                <w:lang w:val="en-GB"/>
              </w:rPr>
            </w:pPr>
            <w:r w:rsidRPr="00746499">
              <w:rPr>
                <w:b/>
                <w:sz w:val="17"/>
                <w:szCs w:val="17"/>
                <w:lang w:val="en-GB"/>
              </w:rPr>
              <w:t>Indicator</w:t>
            </w:r>
            <w:r w:rsidRPr="00746499">
              <w:rPr>
                <w:sz w:val="17"/>
                <w:szCs w:val="17"/>
                <w:lang w:val="en-GB"/>
              </w:rPr>
              <w:t>: Proportion of young people, aged 15-29, not in employment, education or training (NEETs)</w:t>
            </w:r>
          </w:p>
          <w:p w14:paraId="7F40D385" w14:textId="77777777" w:rsidR="000C6C81" w:rsidRPr="00746499" w:rsidRDefault="000C6C81" w:rsidP="005555C4">
            <w:pPr>
              <w:rPr>
                <w:sz w:val="17"/>
                <w:szCs w:val="17"/>
                <w:lang w:val="en-GB"/>
              </w:rPr>
            </w:pPr>
          </w:p>
          <w:p w14:paraId="74FF82C9" w14:textId="77777777" w:rsidR="000C6C81" w:rsidRPr="00746499" w:rsidRDefault="000C6C81" w:rsidP="005555C4">
            <w:pPr>
              <w:rPr>
                <w:sz w:val="17"/>
                <w:szCs w:val="17"/>
                <w:lang w:val="en-GB" w:eastAsia="ro-RO"/>
              </w:rPr>
            </w:pPr>
            <w:r w:rsidRPr="00746499">
              <w:rPr>
                <w:b/>
                <w:sz w:val="17"/>
                <w:szCs w:val="17"/>
                <w:lang w:val="en-GB" w:eastAsia="ro-RO"/>
              </w:rPr>
              <w:t>Baseline</w:t>
            </w:r>
            <w:r w:rsidRPr="00746499">
              <w:rPr>
                <w:sz w:val="17"/>
                <w:szCs w:val="17"/>
                <w:lang w:val="en-GB" w:eastAsia="ro-RO"/>
              </w:rPr>
              <w:t xml:space="preserve"> (2015): Total: 29.3%</w:t>
            </w:r>
          </w:p>
          <w:p w14:paraId="09494166" w14:textId="77777777" w:rsidR="000C6C81" w:rsidRPr="00746499" w:rsidRDefault="000C6C81" w:rsidP="005555C4">
            <w:pPr>
              <w:rPr>
                <w:sz w:val="17"/>
                <w:szCs w:val="17"/>
                <w:lang w:val="en-GB" w:eastAsia="ro-RO"/>
              </w:rPr>
            </w:pPr>
            <w:r w:rsidRPr="00746499">
              <w:rPr>
                <w:sz w:val="17"/>
                <w:szCs w:val="17"/>
                <w:lang w:val="en-GB" w:eastAsia="ro-RO"/>
              </w:rPr>
              <w:t>Men: 23.6%; Women: 35.2%</w:t>
            </w:r>
          </w:p>
          <w:p w14:paraId="5A5E9A94" w14:textId="77777777" w:rsidR="000C6C81" w:rsidRPr="00746499" w:rsidRDefault="000C6C81" w:rsidP="005555C4">
            <w:pPr>
              <w:rPr>
                <w:sz w:val="17"/>
                <w:szCs w:val="17"/>
                <w:lang w:val="en-GB" w:eastAsia="ro-RO"/>
              </w:rPr>
            </w:pPr>
            <w:r w:rsidRPr="00746499">
              <w:rPr>
                <w:sz w:val="17"/>
                <w:szCs w:val="17"/>
                <w:lang w:val="en-GB" w:eastAsia="ro-RO"/>
              </w:rPr>
              <w:t>Urban: 26.6%; Rural: 31.4%</w:t>
            </w:r>
          </w:p>
          <w:p w14:paraId="7A5D0644" w14:textId="77777777" w:rsidR="000C6C81" w:rsidRPr="00746499" w:rsidRDefault="000C6C81" w:rsidP="005555C4">
            <w:pPr>
              <w:rPr>
                <w:sz w:val="17"/>
                <w:szCs w:val="17"/>
                <w:lang w:val="en-GB" w:eastAsia="ro-RO"/>
              </w:rPr>
            </w:pPr>
          </w:p>
          <w:p w14:paraId="5DC64B1F" w14:textId="77777777" w:rsidR="000C6C81" w:rsidRPr="00746499" w:rsidRDefault="000C6C81" w:rsidP="005555C4">
            <w:pPr>
              <w:rPr>
                <w:sz w:val="17"/>
                <w:szCs w:val="17"/>
                <w:lang w:val="en-GB" w:eastAsia="ro-RO"/>
              </w:rPr>
            </w:pPr>
            <w:r w:rsidRPr="00746499">
              <w:rPr>
                <w:b/>
                <w:sz w:val="17"/>
                <w:szCs w:val="17"/>
                <w:lang w:val="en-GB" w:eastAsia="ro-RO"/>
              </w:rPr>
              <w:t>Target</w:t>
            </w:r>
            <w:r w:rsidRPr="00746499">
              <w:rPr>
                <w:sz w:val="17"/>
                <w:szCs w:val="17"/>
                <w:lang w:val="en-GB" w:eastAsia="ro-RO"/>
              </w:rPr>
              <w:t xml:space="preserve"> (2022):  Total: 26.8%; </w:t>
            </w:r>
          </w:p>
          <w:p w14:paraId="1B3CDE2C" w14:textId="77777777" w:rsidR="000C6C81" w:rsidRPr="00746499" w:rsidRDefault="000C6C81" w:rsidP="005555C4">
            <w:pPr>
              <w:rPr>
                <w:sz w:val="17"/>
                <w:szCs w:val="17"/>
                <w:lang w:val="en-GB" w:eastAsia="ro-RO"/>
              </w:rPr>
            </w:pPr>
            <w:r w:rsidRPr="00746499">
              <w:rPr>
                <w:sz w:val="17"/>
                <w:szCs w:val="17"/>
                <w:lang w:val="en-GB" w:eastAsia="ro-RO"/>
              </w:rPr>
              <w:t>Men: 21.5%; Women: 32%</w:t>
            </w:r>
          </w:p>
          <w:p w14:paraId="092405C5" w14:textId="77777777" w:rsidR="000C6C81" w:rsidRPr="00746499" w:rsidRDefault="000C6C81" w:rsidP="005555C4">
            <w:pPr>
              <w:rPr>
                <w:b/>
                <w:sz w:val="17"/>
                <w:szCs w:val="17"/>
                <w:lang w:val="en-GB"/>
              </w:rPr>
            </w:pPr>
            <w:r w:rsidRPr="00746499">
              <w:rPr>
                <w:sz w:val="17"/>
                <w:szCs w:val="17"/>
                <w:lang w:val="en-GB" w:eastAsia="ro-RO"/>
              </w:rPr>
              <w:t>Urban: 24.5%; Rural: 29%</w:t>
            </w:r>
          </w:p>
        </w:tc>
        <w:tc>
          <w:tcPr>
            <w:tcW w:w="686" w:type="pct"/>
            <w:gridSpan w:val="2"/>
          </w:tcPr>
          <w:p w14:paraId="229009DB" w14:textId="2A5CF611" w:rsidR="000C6C81" w:rsidRPr="00C1691C" w:rsidRDefault="000C6C81" w:rsidP="00C1691C">
            <w:pPr>
              <w:jc w:val="both"/>
              <w:rPr>
                <w:sz w:val="17"/>
                <w:szCs w:val="17"/>
              </w:rPr>
            </w:pPr>
            <w:r w:rsidRPr="00746499">
              <w:rPr>
                <w:sz w:val="17"/>
                <w:szCs w:val="17"/>
              </w:rPr>
              <w:t xml:space="preserve">Government/UNDP reports </w:t>
            </w:r>
          </w:p>
        </w:tc>
        <w:tc>
          <w:tcPr>
            <w:tcW w:w="1528" w:type="pct"/>
            <w:gridSpan w:val="2"/>
            <w:tcMar>
              <w:top w:w="72" w:type="dxa"/>
              <w:left w:w="144" w:type="dxa"/>
              <w:bottom w:w="72" w:type="dxa"/>
              <w:right w:w="144" w:type="dxa"/>
            </w:tcMar>
          </w:tcPr>
          <w:p w14:paraId="0AD6E709" w14:textId="77777777" w:rsidR="000C6C81" w:rsidRPr="00746499" w:rsidRDefault="000C6C81" w:rsidP="005555C4">
            <w:pPr>
              <w:jc w:val="both"/>
              <w:rPr>
                <w:b/>
                <w:bCs/>
                <w:sz w:val="17"/>
                <w:szCs w:val="17"/>
              </w:rPr>
            </w:pPr>
            <w:r w:rsidRPr="00746499">
              <w:rPr>
                <w:b/>
                <w:bCs/>
                <w:sz w:val="17"/>
                <w:szCs w:val="17"/>
              </w:rPr>
              <w:t>OUTPUT 2.2. Women, youth and people from regions with special status benefit from better skills, access to resources and sustainable jobs and livelihoods</w:t>
            </w:r>
          </w:p>
          <w:p w14:paraId="7169FAE4" w14:textId="77777777" w:rsidR="000C6C81" w:rsidRPr="00746499" w:rsidRDefault="000C6C81" w:rsidP="005555C4">
            <w:pPr>
              <w:jc w:val="both"/>
              <w:rPr>
                <w:b/>
                <w:bCs/>
                <w:sz w:val="17"/>
                <w:szCs w:val="17"/>
              </w:rPr>
            </w:pPr>
          </w:p>
          <w:p w14:paraId="09CAE6A1" w14:textId="77777777" w:rsidR="000C6C81" w:rsidRPr="00746499" w:rsidRDefault="000C6C81" w:rsidP="005555C4">
            <w:pPr>
              <w:jc w:val="both"/>
              <w:rPr>
                <w:sz w:val="17"/>
                <w:szCs w:val="17"/>
              </w:rPr>
            </w:pPr>
            <w:r w:rsidRPr="00746499">
              <w:rPr>
                <w:b/>
                <w:bCs/>
                <w:sz w:val="17"/>
                <w:szCs w:val="17"/>
              </w:rPr>
              <w:t>Indicator 2.2.1.:</w:t>
            </w:r>
            <w:r w:rsidRPr="00746499">
              <w:rPr>
                <w:sz w:val="17"/>
                <w:szCs w:val="17"/>
              </w:rPr>
              <w:t xml:space="preserve"> Number of additional people benefiting from strengthened livelihoods,</w:t>
            </w:r>
            <w:r w:rsidRPr="00746499">
              <w:rPr>
                <w:rStyle w:val="FootnoteReference"/>
                <w:sz w:val="17"/>
                <w:szCs w:val="17"/>
              </w:rPr>
              <w:footnoteReference w:id="25"/>
            </w:r>
            <w:r w:rsidRPr="00746499">
              <w:rPr>
                <w:i/>
                <w:color w:val="0000FF"/>
                <w:sz w:val="17"/>
                <w:szCs w:val="17"/>
              </w:rPr>
              <w:t xml:space="preserve"> </w:t>
            </w:r>
            <w:r w:rsidRPr="00746499">
              <w:rPr>
                <w:sz w:val="17"/>
                <w:szCs w:val="17"/>
              </w:rPr>
              <w:t>including share of women, youth, minorities</w:t>
            </w:r>
          </w:p>
          <w:p w14:paraId="47FE743F" w14:textId="2012A756" w:rsidR="000C6C81" w:rsidRPr="00746499" w:rsidRDefault="000C6C81" w:rsidP="005555C4">
            <w:pPr>
              <w:jc w:val="both"/>
              <w:rPr>
                <w:sz w:val="17"/>
                <w:szCs w:val="17"/>
              </w:rPr>
            </w:pPr>
            <w:r w:rsidRPr="00746499">
              <w:rPr>
                <w:b/>
                <w:sz w:val="17"/>
                <w:szCs w:val="17"/>
              </w:rPr>
              <w:t xml:space="preserve">Baseline </w:t>
            </w:r>
            <w:r w:rsidRPr="00746499">
              <w:rPr>
                <w:sz w:val="17"/>
                <w:szCs w:val="17"/>
              </w:rPr>
              <w:t>(2016):  Total - 258,509; of which 51% women; youth, minorities, people from regions with special status n/a</w:t>
            </w:r>
          </w:p>
          <w:p w14:paraId="07BE72DA" w14:textId="06AA62EA" w:rsidR="000C6C81" w:rsidRPr="00746499" w:rsidRDefault="000C6C81" w:rsidP="005555C4">
            <w:pPr>
              <w:jc w:val="both"/>
              <w:rPr>
                <w:sz w:val="17"/>
                <w:szCs w:val="17"/>
              </w:rPr>
            </w:pPr>
            <w:r w:rsidRPr="00746499">
              <w:rPr>
                <w:b/>
                <w:sz w:val="17"/>
                <w:szCs w:val="17"/>
              </w:rPr>
              <w:t>Target:</w:t>
            </w:r>
            <w:r w:rsidRPr="00746499">
              <w:rPr>
                <w:sz w:val="17"/>
                <w:szCs w:val="17"/>
              </w:rPr>
              <w:t xml:space="preserve"> Total - 500,000; 51% women; 30% youth, 20% minorities, including people from regions with special status</w:t>
            </w:r>
          </w:p>
          <w:p w14:paraId="3048C021" w14:textId="38283BE8" w:rsidR="000C6C81" w:rsidRPr="00746499" w:rsidRDefault="000C6C81" w:rsidP="005555C4">
            <w:pPr>
              <w:jc w:val="both"/>
              <w:rPr>
                <w:sz w:val="17"/>
                <w:szCs w:val="17"/>
              </w:rPr>
            </w:pPr>
            <w:r w:rsidRPr="00746499">
              <w:rPr>
                <w:b/>
                <w:sz w:val="17"/>
                <w:szCs w:val="17"/>
              </w:rPr>
              <w:t>Means of verification:</w:t>
            </w:r>
            <w:r w:rsidRPr="00746499">
              <w:rPr>
                <w:sz w:val="17"/>
                <w:szCs w:val="17"/>
              </w:rPr>
              <w:t xml:space="preserve"> UNDP </w:t>
            </w:r>
            <w:r w:rsidR="00F37C6B" w:rsidRPr="00746499">
              <w:rPr>
                <w:sz w:val="17"/>
                <w:szCs w:val="17"/>
              </w:rPr>
              <w:t>reports</w:t>
            </w:r>
          </w:p>
          <w:p w14:paraId="71FF8EE6" w14:textId="77777777" w:rsidR="000C6C81" w:rsidRPr="00746499" w:rsidRDefault="000C6C81" w:rsidP="005555C4">
            <w:pPr>
              <w:jc w:val="both"/>
              <w:rPr>
                <w:sz w:val="17"/>
                <w:szCs w:val="17"/>
              </w:rPr>
            </w:pPr>
          </w:p>
          <w:p w14:paraId="7419F062" w14:textId="77777777" w:rsidR="000C6C81" w:rsidRPr="00746499" w:rsidRDefault="000C6C81" w:rsidP="005555C4">
            <w:pPr>
              <w:jc w:val="both"/>
              <w:rPr>
                <w:sz w:val="17"/>
                <w:szCs w:val="17"/>
              </w:rPr>
            </w:pPr>
            <w:r w:rsidRPr="00746499">
              <w:rPr>
                <w:b/>
                <w:bCs/>
                <w:sz w:val="17"/>
                <w:szCs w:val="17"/>
              </w:rPr>
              <w:lastRenderedPageBreak/>
              <w:t xml:space="preserve">Indicator 2.2.2: </w:t>
            </w:r>
            <w:r w:rsidRPr="00746499">
              <w:rPr>
                <w:sz w:val="17"/>
                <w:szCs w:val="17"/>
              </w:rPr>
              <w:t>Number of new jobs created with UNDP support,</w:t>
            </w:r>
            <w:r w:rsidRPr="00746499">
              <w:rPr>
                <w:rStyle w:val="FootnoteReference"/>
                <w:sz w:val="17"/>
                <w:szCs w:val="17"/>
              </w:rPr>
              <w:footnoteReference w:id="26"/>
            </w:r>
            <w:r w:rsidRPr="00746499">
              <w:rPr>
                <w:sz w:val="17"/>
                <w:szCs w:val="17"/>
              </w:rPr>
              <w:t xml:space="preserve"> </w:t>
            </w:r>
            <w:r w:rsidRPr="00746499">
              <w:rPr>
                <w:i/>
                <w:color w:val="0000FF"/>
                <w:sz w:val="17"/>
                <w:szCs w:val="17"/>
              </w:rPr>
              <w:t xml:space="preserve"> </w:t>
            </w:r>
            <w:r w:rsidRPr="00746499">
              <w:rPr>
                <w:sz w:val="17"/>
                <w:szCs w:val="17"/>
              </w:rPr>
              <w:t>including share of women, youth, minorities</w:t>
            </w:r>
          </w:p>
          <w:p w14:paraId="2227CFEC" w14:textId="77777777" w:rsidR="000C6C81" w:rsidRPr="00746499" w:rsidRDefault="000C6C81" w:rsidP="005555C4">
            <w:pPr>
              <w:jc w:val="both"/>
              <w:rPr>
                <w:sz w:val="17"/>
                <w:szCs w:val="17"/>
              </w:rPr>
            </w:pPr>
            <w:r w:rsidRPr="00746499">
              <w:rPr>
                <w:b/>
                <w:sz w:val="17"/>
                <w:szCs w:val="17"/>
              </w:rPr>
              <w:t xml:space="preserve">Baseline </w:t>
            </w:r>
            <w:r w:rsidRPr="00746499">
              <w:rPr>
                <w:sz w:val="17"/>
                <w:szCs w:val="17"/>
              </w:rPr>
              <w:t>(2016)</w:t>
            </w:r>
            <w:r w:rsidRPr="00746499">
              <w:rPr>
                <w:b/>
                <w:sz w:val="17"/>
                <w:szCs w:val="17"/>
              </w:rPr>
              <w:t>:</w:t>
            </w:r>
            <w:r w:rsidRPr="00746499">
              <w:rPr>
                <w:sz w:val="17"/>
                <w:szCs w:val="17"/>
              </w:rPr>
              <w:t xml:space="preserve"> Total - 1,065; Women – 359; youth, minorities, people from regions with special status n/a</w:t>
            </w:r>
          </w:p>
          <w:p w14:paraId="6C604EFF" w14:textId="77777777" w:rsidR="000C6C81" w:rsidRPr="00746499" w:rsidRDefault="000C6C81" w:rsidP="005555C4">
            <w:pPr>
              <w:jc w:val="both"/>
              <w:rPr>
                <w:sz w:val="17"/>
                <w:szCs w:val="17"/>
              </w:rPr>
            </w:pPr>
            <w:r w:rsidRPr="00746499">
              <w:rPr>
                <w:b/>
                <w:sz w:val="17"/>
                <w:szCs w:val="17"/>
              </w:rPr>
              <w:t>Target:</w:t>
            </w:r>
            <w:r w:rsidRPr="00746499">
              <w:rPr>
                <w:sz w:val="17"/>
                <w:szCs w:val="17"/>
              </w:rPr>
              <w:t xml:space="preserve"> Total – 2000; Women – 759; 30% youth, 20% minorities, including people from regions with special status</w:t>
            </w:r>
          </w:p>
          <w:p w14:paraId="45C38AAB" w14:textId="77777777" w:rsidR="000C6C81" w:rsidRPr="00746499" w:rsidRDefault="000C6C81" w:rsidP="005555C4">
            <w:pPr>
              <w:rPr>
                <w:b/>
                <w:bCs/>
                <w:sz w:val="17"/>
                <w:szCs w:val="17"/>
              </w:rPr>
            </w:pPr>
            <w:r w:rsidRPr="00746499">
              <w:rPr>
                <w:b/>
                <w:sz w:val="17"/>
                <w:szCs w:val="17"/>
              </w:rPr>
              <w:t>Means of verification:</w:t>
            </w:r>
            <w:r w:rsidRPr="00746499">
              <w:rPr>
                <w:sz w:val="17"/>
                <w:szCs w:val="17"/>
              </w:rPr>
              <w:t xml:space="preserve"> </w:t>
            </w:r>
            <w:r w:rsidRPr="00746499">
              <w:rPr>
                <w:sz w:val="17"/>
                <w:szCs w:val="17"/>
                <w:lang w:eastAsia="uz-Cyrl-UZ"/>
              </w:rPr>
              <w:t>UNDP reports</w:t>
            </w:r>
            <w:r w:rsidRPr="00746499">
              <w:rPr>
                <w:sz w:val="17"/>
                <w:szCs w:val="17"/>
              </w:rPr>
              <w:t>, Ministry of Economy  </w:t>
            </w:r>
          </w:p>
        </w:tc>
        <w:tc>
          <w:tcPr>
            <w:tcW w:w="770" w:type="pct"/>
            <w:gridSpan w:val="2"/>
            <w:vMerge/>
          </w:tcPr>
          <w:p w14:paraId="4895AC52" w14:textId="1B2144A3" w:rsidR="000C6C81" w:rsidRPr="00746499" w:rsidRDefault="000C6C81" w:rsidP="005555C4">
            <w:pPr>
              <w:jc w:val="both"/>
              <w:rPr>
                <w:sz w:val="17"/>
                <w:szCs w:val="17"/>
              </w:rPr>
            </w:pPr>
          </w:p>
        </w:tc>
        <w:tc>
          <w:tcPr>
            <w:tcW w:w="706" w:type="pct"/>
            <w:gridSpan w:val="2"/>
            <w:tcMar>
              <w:top w:w="15" w:type="dxa"/>
              <w:left w:w="108" w:type="dxa"/>
              <w:bottom w:w="0" w:type="dxa"/>
              <w:right w:w="108" w:type="dxa"/>
            </w:tcMar>
          </w:tcPr>
          <w:p w14:paraId="3100972A" w14:textId="77777777" w:rsidR="000C6C81" w:rsidRPr="00746499" w:rsidRDefault="000C6C81" w:rsidP="005555C4">
            <w:pPr>
              <w:rPr>
                <w:b/>
                <w:color w:val="000000"/>
                <w:sz w:val="17"/>
                <w:szCs w:val="17"/>
              </w:rPr>
            </w:pPr>
          </w:p>
        </w:tc>
      </w:tr>
      <w:tr w:rsidR="005555C4" w:rsidRPr="00746499" w14:paraId="2D9AF33D" w14:textId="77777777" w:rsidTr="007C7AF2">
        <w:trPr>
          <w:gridAfter w:val="1"/>
          <w:wAfter w:w="18" w:type="pct"/>
        </w:trPr>
        <w:tc>
          <w:tcPr>
            <w:tcW w:w="1292" w:type="pct"/>
            <w:tcBorders>
              <w:bottom w:val="single" w:sz="4" w:space="0" w:color="auto"/>
            </w:tcBorders>
            <w:tcMar>
              <w:top w:w="72" w:type="dxa"/>
              <w:left w:w="144" w:type="dxa"/>
              <w:bottom w:w="72" w:type="dxa"/>
              <w:right w:w="144" w:type="dxa"/>
            </w:tcMar>
          </w:tcPr>
          <w:p w14:paraId="563601A3" w14:textId="77777777" w:rsidR="005555C4" w:rsidRPr="00746499" w:rsidRDefault="005555C4" w:rsidP="005555C4">
            <w:pPr>
              <w:contextualSpacing/>
              <w:rPr>
                <w:sz w:val="17"/>
                <w:szCs w:val="17"/>
                <w:lang w:val="en-GB" w:eastAsia="ro-RO"/>
              </w:rPr>
            </w:pPr>
            <w:r w:rsidRPr="00746499">
              <w:rPr>
                <w:b/>
                <w:sz w:val="17"/>
                <w:szCs w:val="17"/>
                <w:lang w:val="en-GB"/>
              </w:rPr>
              <w:t>Indicator</w:t>
            </w:r>
            <w:r w:rsidRPr="00746499">
              <w:rPr>
                <w:sz w:val="17"/>
                <w:szCs w:val="17"/>
                <w:lang w:val="en-GB"/>
              </w:rPr>
              <w:t xml:space="preserve">: </w:t>
            </w:r>
            <w:r w:rsidRPr="00746499">
              <w:rPr>
                <w:sz w:val="17"/>
                <w:szCs w:val="17"/>
                <w:lang w:val="en-GB" w:eastAsia="ro-RO"/>
              </w:rPr>
              <w:t>Small Area Deprivation Index (SADI) as average of SADI ranks for communities from the 1</w:t>
            </w:r>
            <w:r w:rsidRPr="00746499">
              <w:rPr>
                <w:sz w:val="17"/>
                <w:szCs w:val="17"/>
                <w:vertAlign w:val="superscript"/>
                <w:lang w:val="en-GB" w:eastAsia="ro-RO"/>
              </w:rPr>
              <w:t>st</w:t>
            </w:r>
            <w:r w:rsidRPr="00746499">
              <w:rPr>
                <w:sz w:val="17"/>
                <w:szCs w:val="17"/>
                <w:lang w:val="en-GB" w:eastAsia="ro-RO"/>
              </w:rPr>
              <w:t xml:space="preserve"> quintile, by regions and SADI components (economic, environment, infrastructure)</w:t>
            </w:r>
          </w:p>
          <w:p w14:paraId="70E9BAD4" w14:textId="77777777" w:rsidR="005555C4" w:rsidRPr="00746499" w:rsidRDefault="005555C4" w:rsidP="005555C4">
            <w:pPr>
              <w:contextualSpacing/>
              <w:rPr>
                <w:sz w:val="17"/>
                <w:szCs w:val="17"/>
                <w:lang w:val="en-GB" w:eastAsia="ro-RO"/>
              </w:rPr>
            </w:pPr>
          </w:p>
          <w:p w14:paraId="51B15771" w14:textId="77777777" w:rsidR="005555C4" w:rsidRPr="00746499" w:rsidRDefault="005555C4" w:rsidP="005555C4">
            <w:pPr>
              <w:rPr>
                <w:sz w:val="17"/>
                <w:szCs w:val="17"/>
                <w:lang w:val="en-GB" w:eastAsia="ro-RO"/>
              </w:rPr>
            </w:pPr>
            <w:r w:rsidRPr="00746499">
              <w:rPr>
                <w:b/>
                <w:sz w:val="17"/>
                <w:szCs w:val="17"/>
                <w:lang w:val="en-GB" w:eastAsia="ro-RO"/>
              </w:rPr>
              <w:t>Baseline</w:t>
            </w:r>
            <w:r w:rsidRPr="00746499">
              <w:rPr>
                <w:sz w:val="17"/>
                <w:szCs w:val="17"/>
                <w:lang w:val="en-GB" w:eastAsia="ro-RO"/>
              </w:rPr>
              <w:t xml:space="preserve"> (2014)</w:t>
            </w:r>
          </w:p>
          <w:p w14:paraId="1B7470C8" w14:textId="77777777" w:rsidR="005555C4" w:rsidRPr="00746499" w:rsidRDefault="005555C4" w:rsidP="005555C4">
            <w:pPr>
              <w:pStyle w:val="CommentText"/>
              <w:rPr>
                <w:sz w:val="17"/>
                <w:szCs w:val="17"/>
                <w:lang w:val="en-GB"/>
              </w:rPr>
            </w:pPr>
            <w:r w:rsidRPr="00746499">
              <w:rPr>
                <w:b/>
                <w:sz w:val="17"/>
                <w:szCs w:val="17"/>
                <w:lang w:val="en-GB" w:eastAsia="ro-RO"/>
              </w:rPr>
              <w:t>SADI total</w:t>
            </w:r>
          </w:p>
          <w:p w14:paraId="64617415" w14:textId="0CAF8CB5" w:rsidR="005555C4" w:rsidRPr="00746499" w:rsidRDefault="005555C4" w:rsidP="005555C4">
            <w:pPr>
              <w:rPr>
                <w:sz w:val="17"/>
                <w:szCs w:val="17"/>
                <w:lang w:val="en-GB" w:eastAsia="ro-RO"/>
              </w:rPr>
            </w:pPr>
            <w:r w:rsidRPr="00746499">
              <w:rPr>
                <w:sz w:val="17"/>
                <w:szCs w:val="17"/>
                <w:lang w:val="en-GB" w:eastAsia="ro-RO"/>
              </w:rPr>
              <w:t>North: 85, Center: 82, South: 105</w:t>
            </w:r>
            <w:r w:rsidR="007976ED" w:rsidRPr="00746499">
              <w:rPr>
                <w:sz w:val="17"/>
                <w:szCs w:val="17"/>
                <w:lang w:val="en-GB" w:eastAsia="ro-RO"/>
              </w:rPr>
              <w:t>; Gagauzia: 140, Chisinau</w:t>
            </w:r>
            <w:r w:rsidRPr="00746499">
              <w:rPr>
                <w:sz w:val="17"/>
                <w:szCs w:val="17"/>
                <w:lang w:val="en-GB" w:eastAsia="ro-RO"/>
              </w:rPr>
              <w:t xml:space="preserve">: N/a </w:t>
            </w:r>
          </w:p>
          <w:p w14:paraId="09AF31EF" w14:textId="77777777" w:rsidR="005555C4" w:rsidRPr="00746499" w:rsidRDefault="005555C4" w:rsidP="005555C4">
            <w:pPr>
              <w:pStyle w:val="CommentText"/>
              <w:rPr>
                <w:sz w:val="17"/>
                <w:szCs w:val="17"/>
                <w:lang w:val="en-GB" w:eastAsia="ro-RO"/>
              </w:rPr>
            </w:pPr>
            <w:r w:rsidRPr="00746499">
              <w:rPr>
                <w:b/>
                <w:sz w:val="17"/>
                <w:szCs w:val="17"/>
                <w:lang w:val="en-GB" w:eastAsia="ro-RO"/>
              </w:rPr>
              <w:t>Economic deprivation</w:t>
            </w:r>
          </w:p>
          <w:p w14:paraId="211B4B4F" w14:textId="77777777" w:rsidR="005555C4" w:rsidRPr="00746499" w:rsidRDefault="005555C4" w:rsidP="005555C4">
            <w:pPr>
              <w:rPr>
                <w:sz w:val="17"/>
                <w:szCs w:val="17"/>
                <w:lang w:val="en-GB" w:eastAsia="ro-RO"/>
              </w:rPr>
            </w:pPr>
            <w:r w:rsidRPr="00746499">
              <w:rPr>
                <w:sz w:val="17"/>
                <w:szCs w:val="17"/>
                <w:lang w:val="en-GB" w:eastAsia="ro-RO"/>
              </w:rPr>
              <w:t>North: 105, Center: 76, South: 103</w:t>
            </w:r>
          </w:p>
          <w:p w14:paraId="2F24D2FE" w14:textId="3955B91A" w:rsidR="005555C4" w:rsidRPr="00746499" w:rsidRDefault="005555C4" w:rsidP="005555C4">
            <w:pPr>
              <w:rPr>
                <w:sz w:val="17"/>
                <w:szCs w:val="17"/>
                <w:lang w:val="en-GB" w:eastAsia="ro-RO"/>
              </w:rPr>
            </w:pPr>
            <w:r w:rsidRPr="00746499">
              <w:rPr>
                <w:sz w:val="17"/>
                <w:szCs w:val="17"/>
                <w:lang w:val="en-GB" w:eastAsia="ro-RO"/>
              </w:rPr>
              <w:t xml:space="preserve">Gagauzia: 68, Chisinau: 101 </w:t>
            </w:r>
          </w:p>
          <w:p w14:paraId="32BF2414" w14:textId="77777777" w:rsidR="005555C4" w:rsidRPr="00746499" w:rsidRDefault="005555C4" w:rsidP="005555C4">
            <w:pPr>
              <w:pStyle w:val="CommentText"/>
              <w:rPr>
                <w:sz w:val="17"/>
                <w:szCs w:val="17"/>
                <w:lang w:val="en-GB" w:eastAsia="ro-RO"/>
              </w:rPr>
            </w:pPr>
            <w:r w:rsidRPr="00746499">
              <w:rPr>
                <w:b/>
                <w:sz w:val="17"/>
                <w:szCs w:val="17"/>
                <w:lang w:val="en-GB" w:eastAsia="ro-RO"/>
              </w:rPr>
              <w:t>Environment deprivation</w:t>
            </w:r>
          </w:p>
          <w:p w14:paraId="1B345C0B" w14:textId="2AFEA09E" w:rsidR="005555C4" w:rsidRPr="00746499" w:rsidRDefault="005555C4" w:rsidP="005555C4">
            <w:pPr>
              <w:rPr>
                <w:sz w:val="17"/>
                <w:szCs w:val="17"/>
                <w:lang w:val="en-GB" w:eastAsia="ro-RO"/>
              </w:rPr>
            </w:pPr>
            <w:r w:rsidRPr="00746499">
              <w:rPr>
                <w:sz w:val="17"/>
                <w:szCs w:val="17"/>
                <w:lang w:val="en-GB" w:eastAsia="ro-RO"/>
              </w:rPr>
              <w:t>North: 102, Center: 74, South: 81</w:t>
            </w:r>
            <w:r w:rsidR="007976ED" w:rsidRPr="00746499">
              <w:rPr>
                <w:sz w:val="17"/>
                <w:szCs w:val="17"/>
                <w:lang w:val="en-GB" w:eastAsia="ro-RO"/>
              </w:rPr>
              <w:t>; Gagauzia: 101, Chisinau</w:t>
            </w:r>
            <w:r w:rsidRPr="00746499">
              <w:rPr>
                <w:sz w:val="17"/>
                <w:szCs w:val="17"/>
                <w:lang w:val="en-GB" w:eastAsia="ro-RO"/>
              </w:rPr>
              <w:t>: N/a</w:t>
            </w:r>
            <w:r w:rsidRPr="00746499" w:rsidDel="00451F9A">
              <w:rPr>
                <w:sz w:val="17"/>
                <w:szCs w:val="17"/>
                <w:lang w:val="en-GB" w:eastAsia="ro-RO"/>
              </w:rPr>
              <w:t xml:space="preserve"> </w:t>
            </w:r>
          </w:p>
          <w:p w14:paraId="42BBDCC6" w14:textId="77777777" w:rsidR="005555C4" w:rsidRPr="00746499" w:rsidRDefault="005555C4" w:rsidP="005555C4">
            <w:pPr>
              <w:pStyle w:val="CommentText"/>
              <w:rPr>
                <w:sz w:val="17"/>
                <w:szCs w:val="17"/>
                <w:lang w:val="en-GB" w:eastAsia="ro-RO"/>
              </w:rPr>
            </w:pPr>
            <w:r w:rsidRPr="00746499">
              <w:rPr>
                <w:b/>
                <w:sz w:val="17"/>
                <w:szCs w:val="17"/>
                <w:lang w:val="en-GB" w:eastAsia="ro-RO"/>
              </w:rPr>
              <w:t>Infrastructure deprivation</w:t>
            </w:r>
          </w:p>
          <w:p w14:paraId="3C117C69" w14:textId="77777777" w:rsidR="005555C4" w:rsidRPr="00746499" w:rsidRDefault="005555C4" w:rsidP="005555C4">
            <w:pPr>
              <w:rPr>
                <w:bCs/>
                <w:sz w:val="17"/>
                <w:szCs w:val="17"/>
                <w:lang w:val="en-GB" w:eastAsia="ro-RO"/>
              </w:rPr>
            </w:pPr>
            <w:r w:rsidRPr="00746499">
              <w:rPr>
                <w:bCs/>
                <w:sz w:val="17"/>
                <w:szCs w:val="17"/>
                <w:lang w:val="en-GB" w:eastAsia="ro-RO"/>
              </w:rPr>
              <w:t>North: 77, Center: 91, South: 99</w:t>
            </w:r>
          </w:p>
          <w:p w14:paraId="05DE91E1" w14:textId="77777777" w:rsidR="005555C4" w:rsidRPr="00746499" w:rsidRDefault="005555C4" w:rsidP="005555C4">
            <w:pPr>
              <w:rPr>
                <w:bCs/>
                <w:sz w:val="17"/>
                <w:szCs w:val="17"/>
                <w:lang w:val="es-ES" w:eastAsia="ro-RO"/>
              </w:rPr>
            </w:pPr>
            <w:r w:rsidRPr="00746499">
              <w:rPr>
                <w:bCs/>
                <w:sz w:val="17"/>
                <w:szCs w:val="17"/>
                <w:lang w:val="es-ES" w:eastAsia="ro-RO"/>
              </w:rPr>
              <w:t>ATU Gagauzia: N/a</w:t>
            </w:r>
          </w:p>
          <w:p w14:paraId="468F0E06" w14:textId="66D21044" w:rsidR="005555C4" w:rsidRPr="00746499" w:rsidRDefault="007976ED" w:rsidP="005555C4">
            <w:pPr>
              <w:rPr>
                <w:bCs/>
                <w:sz w:val="17"/>
                <w:szCs w:val="17"/>
                <w:lang w:val="es-ES" w:eastAsia="ro-RO"/>
              </w:rPr>
            </w:pPr>
            <w:r w:rsidRPr="00746499">
              <w:rPr>
                <w:bCs/>
                <w:sz w:val="17"/>
                <w:szCs w:val="17"/>
                <w:lang w:val="es-ES" w:eastAsia="ro-RO"/>
              </w:rPr>
              <w:t>Chisinau</w:t>
            </w:r>
            <w:r w:rsidR="005555C4" w:rsidRPr="00746499">
              <w:rPr>
                <w:bCs/>
                <w:sz w:val="17"/>
                <w:szCs w:val="17"/>
                <w:lang w:val="es-ES" w:eastAsia="ro-RO"/>
              </w:rPr>
              <w:t>: N/a</w:t>
            </w:r>
          </w:p>
          <w:p w14:paraId="7919D93D" w14:textId="77777777" w:rsidR="005555C4" w:rsidRPr="00746499" w:rsidRDefault="005555C4" w:rsidP="005555C4">
            <w:pPr>
              <w:rPr>
                <w:sz w:val="17"/>
                <w:szCs w:val="17"/>
                <w:lang w:val="en-GB" w:eastAsia="ro-RO"/>
              </w:rPr>
            </w:pPr>
            <w:r w:rsidRPr="00746499">
              <w:rPr>
                <w:b/>
                <w:bCs/>
                <w:sz w:val="17"/>
                <w:szCs w:val="17"/>
                <w:lang w:val="en-GB" w:eastAsia="ro-RO"/>
              </w:rPr>
              <w:t>Target</w:t>
            </w:r>
            <w:r w:rsidR="00360DAF" w:rsidRPr="00746499">
              <w:rPr>
                <w:b/>
                <w:bCs/>
                <w:sz w:val="17"/>
                <w:szCs w:val="17"/>
                <w:lang w:val="en-GB" w:eastAsia="ro-RO"/>
              </w:rPr>
              <w:t>s</w:t>
            </w:r>
            <w:r w:rsidRPr="00746499">
              <w:rPr>
                <w:bCs/>
                <w:sz w:val="17"/>
                <w:szCs w:val="17"/>
                <w:lang w:val="en-GB" w:eastAsia="ro-RO"/>
              </w:rPr>
              <w:t xml:space="preserve"> </w:t>
            </w:r>
            <w:r w:rsidRPr="00746499">
              <w:rPr>
                <w:sz w:val="17"/>
                <w:szCs w:val="17"/>
                <w:lang w:val="en-GB" w:eastAsia="ro-RO"/>
              </w:rPr>
              <w:t>(2022):</w:t>
            </w:r>
          </w:p>
          <w:p w14:paraId="6FAFE9ED" w14:textId="3FE82BBE" w:rsidR="005555C4" w:rsidRPr="00746499" w:rsidRDefault="005555C4" w:rsidP="005555C4">
            <w:pPr>
              <w:rPr>
                <w:b/>
                <w:sz w:val="17"/>
                <w:szCs w:val="17"/>
                <w:lang w:val="en-GB"/>
              </w:rPr>
            </w:pPr>
            <w:r w:rsidRPr="00746499">
              <w:rPr>
                <w:sz w:val="17"/>
                <w:szCs w:val="17"/>
                <w:lang w:val="en-GB" w:eastAsia="ro-RO"/>
              </w:rPr>
              <w:t>The average of ranks of the poorest communities (1</w:t>
            </w:r>
            <w:r w:rsidRPr="00746499">
              <w:rPr>
                <w:sz w:val="17"/>
                <w:szCs w:val="17"/>
                <w:vertAlign w:val="superscript"/>
                <w:lang w:val="en-GB" w:eastAsia="ro-RO"/>
              </w:rPr>
              <w:t>st</w:t>
            </w:r>
            <w:r w:rsidRPr="00746499">
              <w:rPr>
                <w:sz w:val="17"/>
                <w:szCs w:val="17"/>
                <w:lang w:val="en-GB" w:eastAsia="ro-RO"/>
              </w:rPr>
              <w:t xml:space="preserve"> quintile), by regions, should </w:t>
            </w:r>
            <w:r w:rsidR="003D02D5" w:rsidRPr="00746499">
              <w:rPr>
                <w:sz w:val="17"/>
                <w:szCs w:val="17"/>
                <w:lang w:val="en-GB" w:eastAsia="ro-RO"/>
              </w:rPr>
              <w:t>be</w:t>
            </w:r>
            <w:r w:rsidRPr="00746499">
              <w:rPr>
                <w:sz w:val="17"/>
                <w:szCs w:val="17"/>
                <w:lang w:val="en-GB" w:eastAsia="ro-RO"/>
              </w:rPr>
              <w:t xml:space="preserve"> in close proximity of 85 (=average of SADI ranks for 1</w:t>
            </w:r>
            <w:r w:rsidRPr="00746499">
              <w:rPr>
                <w:sz w:val="17"/>
                <w:szCs w:val="17"/>
                <w:vertAlign w:val="superscript"/>
                <w:lang w:val="en-GB" w:eastAsia="ro-RO"/>
              </w:rPr>
              <w:t>st</w:t>
            </w:r>
            <w:r w:rsidRPr="00746499">
              <w:rPr>
                <w:sz w:val="17"/>
                <w:szCs w:val="17"/>
                <w:lang w:val="en-GB" w:eastAsia="ro-RO"/>
              </w:rPr>
              <w:t xml:space="preserve"> quintile) </w:t>
            </w:r>
          </w:p>
        </w:tc>
        <w:tc>
          <w:tcPr>
            <w:tcW w:w="686" w:type="pct"/>
            <w:gridSpan w:val="2"/>
            <w:tcBorders>
              <w:bottom w:val="single" w:sz="4" w:space="0" w:color="auto"/>
            </w:tcBorders>
          </w:tcPr>
          <w:p w14:paraId="4AAE112C" w14:textId="77777777" w:rsidR="005555C4" w:rsidRPr="00746499" w:rsidRDefault="005555C4" w:rsidP="005555C4">
            <w:pPr>
              <w:jc w:val="both"/>
              <w:rPr>
                <w:sz w:val="17"/>
                <w:szCs w:val="17"/>
              </w:rPr>
            </w:pPr>
            <w:r w:rsidRPr="00746499">
              <w:rPr>
                <w:sz w:val="17"/>
                <w:szCs w:val="17"/>
              </w:rPr>
              <w:t>Government</w:t>
            </w:r>
            <w:r w:rsidR="00360DAF" w:rsidRPr="00746499">
              <w:rPr>
                <w:sz w:val="17"/>
                <w:szCs w:val="17"/>
              </w:rPr>
              <w:t>/ UNDP</w:t>
            </w:r>
            <w:r w:rsidRPr="00746499">
              <w:rPr>
                <w:sz w:val="17"/>
                <w:szCs w:val="17"/>
              </w:rPr>
              <w:t xml:space="preserve"> reports </w:t>
            </w:r>
          </w:p>
          <w:p w14:paraId="12D5AA5E" w14:textId="77777777" w:rsidR="005555C4" w:rsidRPr="00746499" w:rsidRDefault="005555C4" w:rsidP="005555C4">
            <w:pPr>
              <w:jc w:val="both"/>
              <w:rPr>
                <w:sz w:val="17"/>
                <w:szCs w:val="17"/>
              </w:rPr>
            </w:pPr>
          </w:p>
        </w:tc>
        <w:tc>
          <w:tcPr>
            <w:tcW w:w="1528" w:type="pct"/>
            <w:gridSpan w:val="2"/>
            <w:tcBorders>
              <w:bottom w:val="single" w:sz="4" w:space="0" w:color="auto"/>
            </w:tcBorders>
            <w:tcMar>
              <w:top w:w="72" w:type="dxa"/>
              <w:left w:w="144" w:type="dxa"/>
              <w:bottom w:w="72" w:type="dxa"/>
              <w:right w:w="144" w:type="dxa"/>
            </w:tcMar>
          </w:tcPr>
          <w:p w14:paraId="29F58269" w14:textId="77777777" w:rsidR="005555C4" w:rsidRPr="00746499" w:rsidRDefault="005555C4" w:rsidP="005555C4">
            <w:pPr>
              <w:jc w:val="both"/>
              <w:rPr>
                <w:sz w:val="17"/>
                <w:szCs w:val="17"/>
              </w:rPr>
            </w:pPr>
            <w:r w:rsidRPr="00746499">
              <w:rPr>
                <w:b/>
                <w:bCs/>
                <w:sz w:val="17"/>
                <w:szCs w:val="17"/>
              </w:rPr>
              <w:t xml:space="preserve">OUTPUT 2.3. Improved local public services and upgraded infrastructure to enhance accessibility to and boost </w:t>
            </w:r>
            <w:r w:rsidR="00CD47C0" w:rsidRPr="00746499">
              <w:rPr>
                <w:b/>
                <w:bCs/>
                <w:sz w:val="17"/>
                <w:szCs w:val="17"/>
              </w:rPr>
              <w:t xml:space="preserve">resilient </w:t>
            </w:r>
            <w:r w:rsidRPr="00746499">
              <w:rPr>
                <w:b/>
                <w:bCs/>
                <w:sz w:val="17"/>
                <w:szCs w:val="17"/>
              </w:rPr>
              <w:t>local economic development, including in regions with special status and across the conflict divide </w:t>
            </w:r>
            <w:r w:rsidRPr="00746499">
              <w:rPr>
                <w:sz w:val="17"/>
                <w:szCs w:val="17"/>
              </w:rPr>
              <w:t> </w:t>
            </w:r>
          </w:p>
          <w:p w14:paraId="4A98BAB4" w14:textId="77777777" w:rsidR="005555C4" w:rsidRPr="00746499" w:rsidRDefault="005555C4" w:rsidP="005555C4">
            <w:pPr>
              <w:jc w:val="both"/>
              <w:rPr>
                <w:b/>
                <w:bCs/>
                <w:sz w:val="17"/>
                <w:szCs w:val="17"/>
              </w:rPr>
            </w:pPr>
          </w:p>
          <w:p w14:paraId="603F6CF2" w14:textId="77777777" w:rsidR="005555C4" w:rsidRPr="00746499" w:rsidRDefault="005555C4" w:rsidP="005555C4">
            <w:pPr>
              <w:jc w:val="both"/>
              <w:rPr>
                <w:sz w:val="17"/>
                <w:szCs w:val="17"/>
              </w:rPr>
            </w:pPr>
            <w:r w:rsidRPr="00746499">
              <w:rPr>
                <w:b/>
                <w:bCs/>
                <w:sz w:val="17"/>
                <w:szCs w:val="17"/>
              </w:rPr>
              <w:t>Indicator 2.3.1:</w:t>
            </w:r>
            <w:r w:rsidRPr="00746499">
              <w:rPr>
                <w:sz w:val="17"/>
                <w:szCs w:val="17"/>
              </w:rPr>
              <w:t xml:space="preserve"> Number of people benefiting from improved local public services and upgraded </w:t>
            </w:r>
            <w:r w:rsidR="00C60F80" w:rsidRPr="00746499">
              <w:rPr>
                <w:sz w:val="17"/>
                <w:szCs w:val="17"/>
              </w:rPr>
              <w:t xml:space="preserve">resilient </w:t>
            </w:r>
            <w:r w:rsidRPr="00746499">
              <w:rPr>
                <w:sz w:val="17"/>
                <w:szCs w:val="17"/>
              </w:rPr>
              <w:t>infrastructure</w:t>
            </w:r>
            <w:r w:rsidR="00EE7E6B" w:rsidRPr="00746499">
              <w:rPr>
                <w:sz w:val="17"/>
                <w:szCs w:val="17"/>
              </w:rPr>
              <w:t>, including share of women, youth</w:t>
            </w:r>
            <w:r w:rsidRPr="00746499">
              <w:rPr>
                <w:sz w:val="17"/>
                <w:szCs w:val="17"/>
              </w:rPr>
              <w:t xml:space="preserve">, disability and location in special status regions </w:t>
            </w:r>
          </w:p>
          <w:p w14:paraId="7C436CC8" w14:textId="7F361C6B" w:rsidR="005555C4" w:rsidRPr="00746499" w:rsidRDefault="005555C4" w:rsidP="005555C4">
            <w:pPr>
              <w:jc w:val="both"/>
              <w:rPr>
                <w:sz w:val="17"/>
                <w:szCs w:val="17"/>
              </w:rPr>
            </w:pPr>
            <w:r w:rsidRPr="00746499">
              <w:rPr>
                <w:b/>
                <w:sz w:val="17"/>
                <w:szCs w:val="17"/>
              </w:rPr>
              <w:t xml:space="preserve">Baseline </w:t>
            </w:r>
            <w:r w:rsidRPr="00746499">
              <w:rPr>
                <w:sz w:val="17"/>
                <w:szCs w:val="17"/>
              </w:rPr>
              <w:t>(2016)</w:t>
            </w:r>
            <w:r w:rsidRPr="00746499">
              <w:rPr>
                <w:b/>
                <w:sz w:val="17"/>
                <w:szCs w:val="17"/>
              </w:rPr>
              <w:t>:</w:t>
            </w:r>
            <w:r w:rsidRPr="00746499">
              <w:rPr>
                <w:sz w:val="17"/>
                <w:szCs w:val="17"/>
              </w:rPr>
              <w:t xml:space="preserve"> 216,000 (women, youth, </w:t>
            </w:r>
            <w:r w:rsidR="00C05C08" w:rsidRPr="00746499">
              <w:rPr>
                <w:sz w:val="17"/>
                <w:szCs w:val="17"/>
              </w:rPr>
              <w:t>persons with disabilit</w:t>
            </w:r>
            <w:r w:rsidR="0070359A" w:rsidRPr="00746499">
              <w:rPr>
                <w:sz w:val="17"/>
                <w:szCs w:val="17"/>
              </w:rPr>
              <w:t>ies</w:t>
            </w:r>
            <w:r w:rsidRPr="00746499">
              <w:rPr>
                <w:sz w:val="17"/>
                <w:szCs w:val="17"/>
              </w:rPr>
              <w:t>, minorities, people from regions with special status n/a)</w:t>
            </w:r>
          </w:p>
          <w:p w14:paraId="41B131F0" w14:textId="6BF379C4" w:rsidR="005555C4" w:rsidRPr="00746499" w:rsidRDefault="005555C4" w:rsidP="005555C4">
            <w:pPr>
              <w:jc w:val="both"/>
              <w:rPr>
                <w:sz w:val="17"/>
                <w:szCs w:val="17"/>
              </w:rPr>
            </w:pPr>
            <w:r w:rsidRPr="00746499">
              <w:rPr>
                <w:b/>
                <w:sz w:val="17"/>
                <w:szCs w:val="17"/>
              </w:rPr>
              <w:t>Target:</w:t>
            </w:r>
            <w:r w:rsidRPr="00746499">
              <w:rPr>
                <w:sz w:val="17"/>
                <w:szCs w:val="17"/>
              </w:rPr>
              <w:t xml:space="preserve"> 350,000 (including at least 40% women, 30% youth, </w:t>
            </w:r>
            <w:r w:rsidR="00EE7E6B" w:rsidRPr="00746499">
              <w:rPr>
                <w:sz w:val="17"/>
                <w:szCs w:val="17"/>
              </w:rPr>
              <w:t xml:space="preserve">5% </w:t>
            </w:r>
            <w:r w:rsidR="00C05C08" w:rsidRPr="00746499">
              <w:rPr>
                <w:sz w:val="17"/>
                <w:szCs w:val="17"/>
              </w:rPr>
              <w:t>persons with  disabilit</w:t>
            </w:r>
            <w:r w:rsidR="0070359A" w:rsidRPr="00746499">
              <w:rPr>
                <w:sz w:val="17"/>
                <w:szCs w:val="17"/>
              </w:rPr>
              <w:t>ies</w:t>
            </w:r>
            <w:r w:rsidR="00C05C08" w:rsidRPr="00746499">
              <w:rPr>
                <w:sz w:val="17"/>
                <w:szCs w:val="17"/>
              </w:rPr>
              <w:t xml:space="preserve"> </w:t>
            </w:r>
            <w:r w:rsidRPr="00746499">
              <w:rPr>
                <w:sz w:val="17"/>
                <w:szCs w:val="17"/>
              </w:rPr>
              <w:t>and 10% minorities, 20% including people from regions with special status)</w:t>
            </w:r>
          </w:p>
          <w:p w14:paraId="45D592A3" w14:textId="77777777" w:rsidR="005555C4" w:rsidRPr="00746499" w:rsidRDefault="005555C4" w:rsidP="005555C4">
            <w:pPr>
              <w:jc w:val="both"/>
              <w:rPr>
                <w:b/>
                <w:bCs/>
                <w:sz w:val="17"/>
                <w:szCs w:val="17"/>
              </w:rPr>
            </w:pPr>
            <w:r w:rsidRPr="00746499">
              <w:rPr>
                <w:b/>
                <w:sz w:val="17"/>
                <w:szCs w:val="17"/>
              </w:rPr>
              <w:t>Means of verification:</w:t>
            </w:r>
            <w:r w:rsidRPr="00746499">
              <w:rPr>
                <w:sz w:val="17"/>
                <w:szCs w:val="17"/>
              </w:rPr>
              <w:t xml:space="preserve"> </w:t>
            </w:r>
            <w:r w:rsidRPr="00746499">
              <w:rPr>
                <w:sz w:val="17"/>
                <w:szCs w:val="17"/>
                <w:lang w:eastAsia="uz-Cyrl-UZ"/>
              </w:rPr>
              <w:t>UNDP annual reporting</w:t>
            </w:r>
            <w:r w:rsidRPr="00746499">
              <w:rPr>
                <w:b/>
                <w:bCs/>
                <w:sz w:val="17"/>
                <w:szCs w:val="17"/>
              </w:rPr>
              <w:t xml:space="preserve"> </w:t>
            </w:r>
          </w:p>
          <w:p w14:paraId="2D6757E0" w14:textId="77777777" w:rsidR="005555C4" w:rsidRPr="00746499" w:rsidRDefault="005555C4" w:rsidP="005555C4">
            <w:pPr>
              <w:jc w:val="both"/>
              <w:rPr>
                <w:b/>
                <w:bCs/>
                <w:sz w:val="17"/>
                <w:szCs w:val="17"/>
              </w:rPr>
            </w:pPr>
          </w:p>
          <w:p w14:paraId="70A2EBFD" w14:textId="77777777" w:rsidR="005555C4" w:rsidRPr="00746499" w:rsidRDefault="005555C4" w:rsidP="005555C4">
            <w:pPr>
              <w:jc w:val="both"/>
              <w:rPr>
                <w:i/>
                <w:color w:val="0000FF"/>
                <w:sz w:val="17"/>
                <w:szCs w:val="17"/>
              </w:rPr>
            </w:pPr>
            <w:r w:rsidRPr="00746499">
              <w:rPr>
                <w:b/>
                <w:bCs/>
                <w:sz w:val="17"/>
                <w:szCs w:val="17"/>
              </w:rPr>
              <w:t>Indicator 2.3.2:</w:t>
            </w:r>
            <w:r w:rsidRPr="00746499">
              <w:rPr>
                <w:sz w:val="17"/>
                <w:szCs w:val="17"/>
              </w:rPr>
              <w:t xml:space="preserve"> Level of capacity of local governments and other service providers for planning, budgeting and monitoring basic services delivery</w:t>
            </w:r>
            <w:r w:rsidR="005108DA" w:rsidRPr="00746499">
              <w:rPr>
                <w:rStyle w:val="FootnoteReference"/>
                <w:sz w:val="17"/>
                <w:szCs w:val="17"/>
              </w:rPr>
              <w:footnoteReference w:id="27"/>
            </w:r>
            <w:r w:rsidRPr="00746499">
              <w:rPr>
                <w:sz w:val="17"/>
                <w:szCs w:val="17"/>
              </w:rPr>
              <w:t> </w:t>
            </w:r>
          </w:p>
          <w:p w14:paraId="35442AEB" w14:textId="77777777" w:rsidR="005555C4" w:rsidRPr="00746499" w:rsidRDefault="005555C4" w:rsidP="005555C4">
            <w:pPr>
              <w:jc w:val="both"/>
              <w:rPr>
                <w:sz w:val="17"/>
                <w:szCs w:val="17"/>
              </w:rPr>
            </w:pPr>
            <w:r w:rsidRPr="00746499">
              <w:rPr>
                <w:b/>
                <w:sz w:val="17"/>
                <w:szCs w:val="17"/>
              </w:rPr>
              <w:t>Baseline:</w:t>
            </w:r>
            <w:r w:rsidRPr="00746499">
              <w:rPr>
                <w:sz w:val="17"/>
                <w:szCs w:val="17"/>
              </w:rPr>
              <w:t xml:space="preserve"> 3 (partial capacity) </w:t>
            </w:r>
          </w:p>
          <w:p w14:paraId="132F4354" w14:textId="77777777" w:rsidR="005555C4" w:rsidRPr="00746499" w:rsidRDefault="005555C4" w:rsidP="005555C4">
            <w:pPr>
              <w:jc w:val="both"/>
              <w:rPr>
                <w:sz w:val="17"/>
                <w:szCs w:val="17"/>
              </w:rPr>
            </w:pPr>
            <w:r w:rsidRPr="00746499">
              <w:rPr>
                <w:b/>
                <w:sz w:val="17"/>
                <w:szCs w:val="17"/>
              </w:rPr>
              <w:t>Target:</w:t>
            </w:r>
            <w:r w:rsidRPr="00746499">
              <w:rPr>
                <w:sz w:val="17"/>
                <w:szCs w:val="17"/>
              </w:rPr>
              <w:t xml:space="preserve"> 4 (capacity largely in place) </w:t>
            </w:r>
          </w:p>
          <w:p w14:paraId="1736ABB5" w14:textId="77777777" w:rsidR="005555C4" w:rsidRPr="00746499" w:rsidRDefault="005555C4" w:rsidP="005555C4">
            <w:pPr>
              <w:jc w:val="both"/>
              <w:rPr>
                <w:sz w:val="17"/>
                <w:szCs w:val="17"/>
              </w:rPr>
            </w:pPr>
            <w:r w:rsidRPr="00746499">
              <w:rPr>
                <w:b/>
                <w:sz w:val="17"/>
                <w:szCs w:val="17"/>
              </w:rPr>
              <w:t>Means of verification:</w:t>
            </w:r>
            <w:r w:rsidRPr="00746499">
              <w:rPr>
                <w:sz w:val="17"/>
                <w:szCs w:val="17"/>
              </w:rPr>
              <w:t xml:space="preserve"> </w:t>
            </w:r>
            <w:r w:rsidRPr="00746499">
              <w:rPr>
                <w:sz w:val="17"/>
                <w:szCs w:val="17"/>
                <w:lang w:eastAsia="uz-Cyrl-UZ"/>
              </w:rPr>
              <w:t>UNDP annual reporting</w:t>
            </w:r>
            <w:r w:rsidRPr="00746499">
              <w:rPr>
                <w:sz w:val="17"/>
                <w:szCs w:val="17"/>
              </w:rPr>
              <w:t>, Government reports  </w:t>
            </w:r>
          </w:p>
          <w:p w14:paraId="27660F74" w14:textId="77777777" w:rsidR="005555C4" w:rsidRPr="00746499" w:rsidRDefault="005555C4" w:rsidP="005555C4">
            <w:pPr>
              <w:jc w:val="both"/>
              <w:rPr>
                <w:sz w:val="17"/>
                <w:szCs w:val="17"/>
              </w:rPr>
            </w:pPr>
          </w:p>
          <w:p w14:paraId="116BA0AC" w14:textId="77777777" w:rsidR="005555C4" w:rsidRPr="00746499" w:rsidRDefault="005555C4" w:rsidP="005555C4">
            <w:pPr>
              <w:jc w:val="both"/>
              <w:rPr>
                <w:bCs/>
                <w:sz w:val="17"/>
                <w:szCs w:val="17"/>
              </w:rPr>
            </w:pPr>
            <w:r w:rsidRPr="00746499">
              <w:rPr>
                <w:b/>
                <w:bCs/>
                <w:sz w:val="17"/>
                <w:szCs w:val="17"/>
              </w:rPr>
              <w:t xml:space="preserve">Indicator 2.3.3: </w:t>
            </w:r>
            <w:r w:rsidRPr="00746499">
              <w:rPr>
                <w:bCs/>
                <w:sz w:val="17"/>
                <w:szCs w:val="17"/>
              </w:rPr>
              <w:t>Number of new jobs</w:t>
            </w:r>
            <w:r w:rsidR="00CD47C0" w:rsidRPr="00746499">
              <w:rPr>
                <w:rStyle w:val="FootnoteReference"/>
                <w:bCs/>
                <w:sz w:val="17"/>
                <w:szCs w:val="17"/>
              </w:rPr>
              <w:footnoteReference w:id="28"/>
            </w:r>
            <w:r w:rsidRPr="00746499">
              <w:rPr>
                <w:bCs/>
                <w:sz w:val="17"/>
                <w:szCs w:val="17"/>
              </w:rPr>
              <w:t xml:space="preserve"> by sex, created by local companies </w:t>
            </w:r>
            <w:r w:rsidR="00C60F80" w:rsidRPr="00746499">
              <w:rPr>
                <w:bCs/>
                <w:sz w:val="17"/>
                <w:szCs w:val="17"/>
              </w:rPr>
              <w:t>because of</w:t>
            </w:r>
            <w:r w:rsidRPr="00746499">
              <w:rPr>
                <w:bCs/>
                <w:sz w:val="17"/>
                <w:szCs w:val="17"/>
              </w:rPr>
              <w:t xml:space="preserve"> improved local public services and upgraded </w:t>
            </w:r>
            <w:r w:rsidR="00C60F80" w:rsidRPr="00746499">
              <w:rPr>
                <w:bCs/>
                <w:sz w:val="17"/>
                <w:szCs w:val="17"/>
              </w:rPr>
              <w:t xml:space="preserve">resilient </w:t>
            </w:r>
            <w:r w:rsidRPr="00746499">
              <w:rPr>
                <w:bCs/>
                <w:sz w:val="17"/>
                <w:szCs w:val="17"/>
              </w:rPr>
              <w:t xml:space="preserve">infrastructure </w:t>
            </w:r>
          </w:p>
          <w:p w14:paraId="279B8FCC" w14:textId="77777777" w:rsidR="006D5EA9" w:rsidRDefault="005555C4" w:rsidP="005555C4">
            <w:pPr>
              <w:jc w:val="both"/>
              <w:rPr>
                <w:bCs/>
                <w:sz w:val="17"/>
                <w:szCs w:val="17"/>
              </w:rPr>
            </w:pPr>
            <w:r w:rsidRPr="00746499">
              <w:rPr>
                <w:b/>
                <w:bCs/>
                <w:sz w:val="17"/>
                <w:szCs w:val="17"/>
              </w:rPr>
              <w:t xml:space="preserve">Baseline </w:t>
            </w:r>
            <w:r w:rsidRPr="00746499">
              <w:rPr>
                <w:bCs/>
                <w:sz w:val="17"/>
                <w:szCs w:val="17"/>
              </w:rPr>
              <w:t>(2016): 0</w:t>
            </w:r>
          </w:p>
          <w:p w14:paraId="68FF9D8E" w14:textId="15E8409B" w:rsidR="005555C4" w:rsidRPr="00746499" w:rsidRDefault="005555C4" w:rsidP="005555C4">
            <w:pPr>
              <w:jc w:val="both"/>
              <w:rPr>
                <w:bCs/>
                <w:sz w:val="17"/>
                <w:szCs w:val="17"/>
              </w:rPr>
            </w:pPr>
            <w:r w:rsidRPr="00746499">
              <w:rPr>
                <w:b/>
                <w:bCs/>
                <w:sz w:val="17"/>
                <w:szCs w:val="17"/>
              </w:rPr>
              <w:t>Target</w:t>
            </w:r>
            <w:r w:rsidRPr="00746499">
              <w:rPr>
                <w:bCs/>
                <w:sz w:val="17"/>
                <w:szCs w:val="17"/>
              </w:rPr>
              <w:t>: Total –  700; Women – 250; Men – 450</w:t>
            </w:r>
          </w:p>
          <w:p w14:paraId="314C3DD5" w14:textId="77777777" w:rsidR="005555C4" w:rsidRPr="00746499" w:rsidRDefault="005555C4" w:rsidP="005555C4">
            <w:pPr>
              <w:jc w:val="both"/>
              <w:rPr>
                <w:b/>
                <w:bCs/>
                <w:sz w:val="17"/>
                <w:szCs w:val="17"/>
              </w:rPr>
            </w:pPr>
            <w:r w:rsidRPr="00746499">
              <w:rPr>
                <w:b/>
                <w:bCs/>
                <w:sz w:val="17"/>
                <w:szCs w:val="17"/>
              </w:rPr>
              <w:t xml:space="preserve">Means of verification: </w:t>
            </w:r>
            <w:r w:rsidRPr="00746499">
              <w:rPr>
                <w:bCs/>
                <w:sz w:val="17"/>
                <w:szCs w:val="17"/>
              </w:rPr>
              <w:t xml:space="preserve">UNDP </w:t>
            </w:r>
            <w:r w:rsidR="00360DAF" w:rsidRPr="00746499">
              <w:rPr>
                <w:bCs/>
                <w:sz w:val="17"/>
                <w:szCs w:val="17"/>
              </w:rPr>
              <w:t>/</w:t>
            </w:r>
            <w:r w:rsidRPr="00746499">
              <w:rPr>
                <w:bCs/>
                <w:sz w:val="17"/>
                <w:szCs w:val="17"/>
              </w:rPr>
              <w:t>local government reports</w:t>
            </w:r>
          </w:p>
        </w:tc>
        <w:tc>
          <w:tcPr>
            <w:tcW w:w="770" w:type="pct"/>
            <w:gridSpan w:val="2"/>
            <w:tcBorders>
              <w:bottom w:val="single" w:sz="4" w:space="0" w:color="auto"/>
            </w:tcBorders>
          </w:tcPr>
          <w:p w14:paraId="54ECE7C6" w14:textId="77777777" w:rsidR="005555C4" w:rsidRPr="00746499" w:rsidRDefault="005555C4" w:rsidP="005555C4">
            <w:pPr>
              <w:rPr>
                <w:sz w:val="17"/>
                <w:szCs w:val="17"/>
              </w:rPr>
            </w:pPr>
            <w:r w:rsidRPr="00746499">
              <w:rPr>
                <w:sz w:val="17"/>
                <w:szCs w:val="17"/>
              </w:rPr>
              <w:t>State Chancellery</w:t>
            </w:r>
          </w:p>
          <w:p w14:paraId="1F847724" w14:textId="2ADAA6DA" w:rsidR="005555C4" w:rsidRPr="00746499" w:rsidRDefault="005555C4" w:rsidP="005555C4">
            <w:pPr>
              <w:rPr>
                <w:sz w:val="17"/>
                <w:szCs w:val="17"/>
              </w:rPr>
            </w:pPr>
            <w:r w:rsidRPr="00746499">
              <w:rPr>
                <w:sz w:val="17"/>
                <w:szCs w:val="17"/>
              </w:rPr>
              <w:t>Ministry of Regional Development and Construction</w:t>
            </w:r>
            <w:r w:rsidR="002F57A2" w:rsidRPr="00746499">
              <w:rPr>
                <w:sz w:val="17"/>
                <w:szCs w:val="17"/>
              </w:rPr>
              <w:t>;</w:t>
            </w:r>
            <w:r w:rsidRPr="00746499">
              <w:rPr>
                <w:sz w:val="17"/>
                <w:szCs w:val="17"/>
              </w:rPr>
              <w:t xml:space="preserve"> </w:t>
            </w:r>
          </w:p>
          <w:p w14:paraId="37DB5C3F" w14:textId="28E04E52" w:rsidR="005555C4" w:rsidRPr="00746499" w:rsidRDefault="005555C4" w:rsidP="005555C4">
            <w:pPr>
              <w:rPr>
                <w:sz w:val="17"/>
                <w:szCs w:val="17"/>
              </w:rPr>
            </w:pPr>
            <w:r w:rsidRPr="00746499">
              <w:rPr>
                <w:sz w:val="17"/>
                <w:szCs w:val="17"/>
              </w:rPr>
              <w:t>Ministry of Environment</w:t>
            </w:r>
            <w:r w:rsidR="00625423" w:rsidRPr="00746499">
              <w:rPr>
                <w:sz w:val="17"/>
                <w:szCs w:val="17"/>
              </w:rPr>
              <w:t xml:space="preserve"> </w:t>
            </w:r>
          </w:p>
          <w:p w14:paraId="58F7B070" w14:textId="0B901D53" w:rsidR="003D02D5" w:rsidRPr="00746499" w:rsidRDefault="005B4A2C" w:rsidP="005B4A2C">
            <w:pPr>
              <w:rPr>
                <w:sz w:val="17"/>
                <w:szCs w:val="17"/>
              </w:rPr>
            </w:pPr>
            <w:r w:rsidRPr="00746499">
              <w:rPr>
                <w:sz w:val="17"/>
                <w:szCs w:val="17"/>
              </w:rPr>
              <w:t>EU</w:t>
            </w:r>
            <w:r w:rsidR="00C05C08" w:rsidRPr="00746499">
              <w:rPr>
                <w:sz w:val="17"/>
                <w:szCs w:val="17"/>
              </w:rPr>
              <w:t xml:space="preserve"> </w:t>
            </w:r>
          </w:p>
          <w:p w14:paraId="44A87878" w14:textId="4A729C6C" w:rsidR="005B4A2C" w:rsidRPr="00746499" w:rsidRDefault="00F37C6B" w:rsidP="005B4A2C">
            <w:pPr>
              <w:rPr>
                <w:sz w:val="17"/>
                <w:szCs w:val="17"/>
              </w:rPr>
            </w:pPr>
            <w:r w:rsidRPr="00746499">
              <w:rPr>
                <w:sz w:val="17"/>
                <w:szCs w:val="17"/>
              </w:rPr>
              <w:t xml:space="preserve">Government of </w:t>
            </w:r>
            <w:r w:rsidR="005B4A2C" w:rsidRPr="00746499">
              <w:rPr>
                <w:sz w:val="17"/>
                <w:szCs w:val="17"/>
              </w:rPr>
              <w:t xml:space="preserve">Switzerland </w:t>
            </w:r>
          </w:p>
          <w:p w14:paraId="3292F8AF" w14:textId="0F9398FE" w:rsidR="005555C4" w:rsidRPr="00746499" w:rsidRDefault="005555C4" w:rsidP="005555C4">
            <w:pPr>
              <w:rPr>
                <w:sz w:val="17"/>
                <w:szCs w:val="17"/>
              </w:rPr>
            </w:pPr>
            <w:r w:rsidRPr="00746499">
              <w:rPr>
                <w:sz w:val="17"/>
                <w:szCs w:val="17"/>
              </w:rPr>
              <w:t xml:space="preserve">Regional and local authorities </w:t>
            </w:r>
          </w:p>
          <w:p w14:paraId="4B5B24F8" w14:textId="77777777" w:rsidR="005555C4" w:rsidRPr="00746499" w:rsidRDefault="005555C4" w:rsidP="005555C4">
            <w:pPr>
              <w:rPr>
                <w:sz w:val="17"/>
                <w:szCs w:val="17"/>
              </w:rPr>
            </w:pPr>
            <w:r w:rsidRPr="00746499">
              <w:rPr>
                <w:sz w:val="17"/>
                <w:szCs w:val="17"/>
              </w:rPr>
              <w:t>Private sector</w:t>
            </w:r>
          </w:p>
          <w:p w14:paraId="02A61E4E" w14:textId="77777777" w:rsidR="005555C4" w:rsidRPr="00746499" w:rsidRDefault="005555C4" w:rsidP="005555C4">
            <w:pPr>
              <w:rPr>
                <w:sz w:val="17"/>
                <w:szCs w:val="17"/>
              </w:rPr>
            </w:pPr>
            <w:r w:rsidRPr="00746499">
              <w:rPr>
                <w:sz w:val="17"/>
                <w:szCs w:val="17"/>
              </w:rPr>
              <w:t xml:space="preserve">CSOs </w:t>
            </w:r>
          </w:p>
        </w:tc>
        <w:tc>
          <w:tcPr>
            <w:tcW w:w="706" w:type="pct"/>
            <w:gridSpan w:val="2"/>
            <w:tcBorders>
              <w:bottom w:val="single" w:sz="4" w:space="0" w:color="auto"/>
            </w:tcBorders>
            <w:tcMar>
              <w:top w:w="15" w:type="dxa"/>
              <w:left w:w="108" w:type="dxa"/>
              <w:bottom w:w="0" w:type="dxa"/>
              <w:right w:w="108" w:type="dxa"/>
            </w:tcMar>
          </w:tcPr>
          <w:p w14:paraId="39E55281" w14:textId="77777777" w:rsidR="005555C4" w:rsidRPr="00746499" w:rsidRDefault="005555C4" w:rsidP="005555C4">
            <w:pPr>
              <w:rPr>
                <w:b/>
                <w:color w:val="000000"/>
                <w:sz w:val="17"/>
                <w:szCs w:val="17"/>
              </w:rPr>
            </w:pPr>
          </w:p>
        </w:tc>
      </w:tr>
      <w:tr w:rsidR="005555C4" w:rsidRPr="00746499" w14:paraId="171089F7" w14:textId="77777777" w:rsidTr="007C7AF2">
        <w:trPr>
          <w:gridAfter w:val="1"/>
          <w:wAfter w:w="18" w:type="pct"/>
          <w:trHeight w:val="395"/>
        </w:trPr>
        <w:tc>
          <w:tcPr>
            <w:tcW w:w="4982" w:type="pct"/>
            <w:gridSpan w:val="9"/>
            <w:shd w:val="clear" w:color="auto" w:fill="auto"/>
            <w:tcMar>
              <w:top w:w="72" w:type="dxa"/>
              <w:left w:w="144" w:type="dxa"/>
              <w:bottom w:w="72" w:type="dxa"/>
              <w:right w:w="144" w:type="dxa"/>
            </w:tcMar>
          </w:tcPr>
          <w:p w14:paraId="2C722382" w14:textId="77777777" w:rsidR="005555C4" w:rsidRPr="00746499" w:rsidRDefault="005555C4" w:rsidP="005555C4">
            <w:pPr>
              <w:rPr>
                <w:bCs/>
                <w:color w:val="000000"/>
                <w:sz w:val="17"/>
                <w:szCs w:val="17"/>
                <w:lang w:val="en-GB"/>
              </w:rPr>
            </w:pPr>
            <w:r w:rsidRPr="00746499">
              <w:rPr>
                <w:sz w:val="17"/>
                <w:szCs w:val="17"/>
              </w:rPr>
              <w:lastRenderedPageBreak/>
              <w:t xml:space="preserve"> </w:t>
            </w:r>
            <w:r w:rsidRPr="00746499">
              <w:rPr>
                <w:b/>
                <w:bCs/>
                <w:color w:val="000000"/>
                <w:sz w:val="17"/>
                <w:szCs w:val="17"/>
                <w:lang w:val="en-GB"/>
              </w:rPr>
              <w:t xml:space="preserve">NATIONAL priority #5: </w:t>
            </w:r>
            <w:r w:rsidRPr="00746499">
              <w:rPr>
                <w:bCs/>
                <w:color w:val="000000"/>
                <w:sz w:val="17"/>
                <w:szCs w:val="17"/>
                <w:lang w:val="en-GB"/>
              </w:rPr>
              <w:t xml:space="preserve">“Reducing energy consumption by increasing energy efficiency and using renewable energy sources” </w:t>
            </w:r>
          </w:p>
          <w:p w14:paraId="068AD4C0" w14:textId="7A8F0E04" w:rsidR="005555C4" w:rsidRPr="00746499" w:rsidRDefault="005555C4" w:rsidP="00F37C6B">
            <w:pPr>
              <w:rPr>
                <w:bCs/>
                <w:color w:val="000000"/>
                <w:sz w:val="17"/>
                <w:szCs w:val="17"/>
                <w:lang w:val="en-GB"/>
              </w:rPr>
            </w:pPr>
            <w:r w:rsidRPr="00746499">
              <w:rPr>
                <w:bCs/>
                <w:color w:val="000000"/>
                <w:sz w:val="17"/>
                <w:szCs w:val="17"/>
                <w:lang w:val="en-GB"/>
              </w:rPr>
              <w:t xml:space="preserve">Related to </w:t>
            </w:r>
            <w:r w:rsidR="00F37C6B" w:rsidRPr="00746499">
              <w:rPr>
                <w:bCs/>
                <w:color w:val="000000"/>
                <w:sz w:val="17"/>
                <w:szCs w:val="17"/>
                <w:lang w:val="en-GB"/>
              </w:rPr>
              <w:t xml:space="preserve">Sustainable Development Goals </w:t>
            </w:r>
            <w:r w:rsidRPr="00746499">
              <w:rPr>
                <w:bCs/>
                <w:color w:val="000000"/>
                <w:sz w:val="17"/>
                <w:szCs w:val="17"/>
                <w:lang w:val="en-GB"/>
              </w:rPr>
              <w:t>7, 11, 12, 13,15</w:t>
            </w:r>
          </w:p>
        </w:tc>
      </w:tr>
      <w:tr w:rsidR="005555C4" w:rsidRPr="00746499" w14:paraId="694302D3" w14:textId="77777777" w:rsidTr="007C7AF2">
        <w:trPr>
          <w:gridAfter w:val="1"/>
          <w:wAfter w:w="18" w:type="pct"/>
        </w:trPr>
        <w:tc>
          <w:tcPr>
            <w:tcW w:w="4982" w:type="pct"/>
            <w:gridSpan w:val="9"/>
            <w:shd w:val="clear" w:color="auto" w:fill="auto"/>
            <w:tcMar>
              <w:top w:w="72" w:type="dxa"/>
              <w:left w:w="144" w:type="dxa"/>
              <w:bottom w:w="72" w:type="dxa"/>
              <w:right w:w="144" w:type="dxa"/>
            </w:tcMar>
          </w:tcPr>
          <w:p w14:paraId="708995C1" w14:textId="41F4A85A" w:rsidR="005555C4" w:rsidRPr="00746499" w:rsidRDefault="005555C4" w:rsidP="005555C4">
            <w:pPr>
              <w:rPr>
                <w:b/>
                <w:color w:val="000000"/>
                <w:sz w:val="17"/>
                <w:szCs w:val="17"/>
              </w:rPr>
            </w:pPr>
            <w:r w:rsidRPr="00746499">
              <w:rPr>
                <w:b/>
                <w:bCs/>
                <w:color w:val="000000"/>
                <w:sz w:val="17"/>
                <w:szCs w:val="17"/>
                <w:lang w:val="en-GB"/>
              </w:rPr>
              <w:t xml:space="preserve">UNDAF Outcome #3:  The people of Moldova, </w:t>
            </w:r>
            <w:r w:rsidR="007E2AB0" w:rsidRPr="00746499">
              <w:rPr>
                <w:b/>
                <w:bCs/>
                <w:color w:val="000000"/>
                <w:sz w:val="17"/>
                <w:szCs w:val="17"/>
                <w:lang w:val="en-GB"/>
              </w:rPr>
              <w:t>especially</w:t>
            </w:r>
            <w:r w:rsidRPr="00746499">
              <w:rPr>
                <w:b/>
                <w:bCs/>
                <w:color w:val="000000"/>
                <w:sz w:val="17"/>
                <w:szCs w:val="17"/>
                <w:lang w:val="en-GB"/>
              </w:rPr>
              <w:t xml:space="preserve"> most vulnerable, benefit from enhanced environmental governance, energy security, sustainable management of natural resources, and climate and disaster resilient development</w:t>
            </w:r>
          </w:p>
        </w:tc>
      </w:tr>
      <w:tr w:rsidR="005555C4" w:rsidRPr="00746499" w14:paraId="323EC5A7" w14:textId="77777777" w:rsidTr="007C7AF2">
        <w:trPr>
          <w:gridAfter w:val="1"/>
          <w:wAfter w:w="18" w:type="pct"/>
        </w:trPr>
        <w:tc>
          <w:tcPr>
            <w:tcW w:w="4982" w:type="pct"/>
            <w:gridSpan w:val="9"/>
            <w:shd w:val="clear" w:color="auto" w:fill="auto"/>
            <w:tcMar>
              <w:top w:w="72" w:type="dxa"/>
              <w:left w:w="144" w:type="dxa"/>
              <w:bottom w:w="72" w:type="dxa"/>
              <w:right w:w="144" w:type="dxa"/>
            </w:tcMar>
          </w:tcPr>
          <w:p w14:paraId="4AD04047" w14:textId="1956A031" w:rsidR="005555C4" w:rsidRPr="00746499" w:rsidRDefault="007E2AB0" w:rsidP="00025997">
            <w:pPr>
              <w:rPr>
                <w:b/>
                <w:color w:val="000000"/>
                <w:sz w:val="17"/>
                <w:szCs w:val="17"/>
              </w:rPr>
            </w:pPr>
            <w:r w:rsidRPr="00746499">
              <w:rPr>
                <w:b/>
                <w:bCs/>
                <w:color w:val="000000"/>
                <w:sz w:val="17"/>
                <w:szCs w:val="17"/>
                <w:lang w:val="en-GB"/>
              </w:rPr>
              <w:t>S</w:t>
            </w:r>
            <w:r w:rsidR="00025997">
              <w:rPr>
                <w:b/>
                <w:bCs/>
                <w:color w:val="000000"/>
                <w:sz w:val="17"/>
                <w:szCs w:val="17"/>
                <w:lang w:val="en-GB"/>
              </w:rPr>
              <w:t xml:space="preserve">TRATEGIC PLAN </w:t>
            </w:r>
            <w:r w:rsidR="005555C4" w:rsidRPr="00746499">
              <w:rPr>
                <w:b/>
                <w:bCs/>
                <w:color w:val="000000"/>
                <w:sz w:val="17"/>
                <w:szCs w:val="17"/>
                <w:lang w:val="en-GB"/>
              </w:rPr>
              <w:t>Outcome:</w:t>
            </w:r>
            <w:r w:rsidRPr="00746499">
              <w:rPr>
                <w:b/>
                <w:bCs/>
                <w:color w:val="000000"/>
                <w:sz w:val="17"/>
                <w:szCs w:val="17"/>
                <w:lang w:val="en-GB"/>
              </w:rPr>
              <w:t>1</w:t>
            </w:r>
            <w:r w:rsidR="005555C4" w:rsidRPr="00746499">
              <w:rPr>
                <w:b/>
                <w:bCs/>
                <w:color w:val="000000"/>
                <w:sz w:val="17"/>
                <w:szCs w:val="17"/>
                <w:lang w:val="en-GB"/>
              </w:rPr>
              <w:t xml:space="preserve"> </w:t>
            </w:r>
            <w:r w:rsidR="00C05C08" w:rsidRPr="00746499">
              <w:rPr>
                <w:sz w:val="17"/>
                <w:szCs w:val="17"/>
                <w:lang w:val="en-GB"/>
              </w:rPr>
              <w:t>Growth and development are inclusive and sustainable, incorporating productive capacities that create employment and livelihoods for the poor and excluded</w:t>
            </w:r>
          </w:p>
        </w:tc>
      </w:tr>
      <w:tr w:rsidR="005555C4" w:rsidRPr="00746499" w14:paraId="30056185" w14:textId="77777777" w:rsidTr="006C3F11">
        <w:trPr>
          <w:gridAfter w:val="1"/>
          <w:wAfter w:w="18" w:type="pct"/>
        </w:trPr>
        <w:tc>
          <w:tcPr>
            <w:tcW w:w="1292" w:type="pct"/>
            <w:vMerge w:val="restart"/>
            <w:shd w:val="clear" w:color="auto" w:fill="FFFFFF" w:themeFill="background1"/>
            <w:tcMar>
              <w:top w:w="72" w:type="dxa"/>
              <w:left w:w="144" w:type="dxa"/>
              <w:bottom w:w="72" w:type="dxa"/>
              <w:right w:w="144" w:type="dxa"/>
            </w:tcMar>
          </w:tcPr>
          <w:p w14:paraId="65AD93CB" w14:textId="3D43B40D" w:rsidR="005555C4" w:rsidRPr="00746499" w:rsidRDefault="005555C4" w:rsidP="005555C4">
            <w:pPr>
              <w:rPr>
                <w:b/>
                <w:sz w:val="17"/>
                <w:szCs w:val="17"/>
                <w:lang w:eastAsia="uz-Cyrl-UZ"/>
              </w:rPr>
            </w:pPr>
            <w:r w:rsidRPr="00746499">
              <w:rPr>
                <w:b/>
                <w:sz w:val="17"/>
                <w:szCs w:val="17"/>
                <w:lang w:val="en-GB"/>
              </w:rPr>
              <w:t>Indicator</w:t>
            </w:r>
            <w:r w:rsidRPr="00746499">
              <w:rPr>
                <w:sz w:val="17"/>
                <w:szCs w:val="17"/>
                <w:lang w:val="en-GB"/>
              </w:rPr>
              <w:t xml:space="preserve">: </w:t>
            </w:r>
            <w:r w:rsidRPr="00746499">
              <w:rPr>
                <w:sz w:val="17"/>
                <w:szCs w:val="17"/>
                <w:lang w:eastAsia="uz-Cyrl-UZ"/>
              </w:rPr>
              <w:t xml:space="preserve">Percentage decrease in </w:t>
            </w:r>
            <w:r w:rsidR="00F37C6B" w:rsidRPr="00746499">
              <w:rPr>
                <w:sz w:val="17"/>
                <w:szCs w:val="17"/>
                <w:lang w:eastAsia="uz-Cyrl-UZ"/>
              </w:rPr>
              <w:t xml:space="preserve">greenhouse gas </w:t>
            </w:r>
            <w:r w:rsidRPr="00746499">
              <w:rPr>
                <w:sz w:val="17"/>
                <w:szCs w:val="17"/>
                <w:lang w:eastAsia="uz-Cyrl-UZ"/>
              </w:rPr>
              <w:t>emission</w:t>
            </w:r>
            <w:r w:rsidR="00F37C6B" w:rsidRPr="00746499">
              <w:rPr>
                <w:sz w:val="17"/>
                <w:szCs w:val="17"/>
                <w:lang w:eastAsia="uz-Cyrl-UZ"/>
              </w:rPr>
              <w:t>s</w:t>
            </w:r>
            <w:r w:rsidRPr="00746499">
              <w:rPr>
                <w:sz w:val="17"/>
                <w:szCs w:val="17"/>
                <w:lang w:eastAsia="uz-Cyrl-UZ"/>
              </w:rPr>
              <w:t xml:space="preserve"> </w:t>
            </w:r>
          </w:p>
          <w:p w14:paraId="4F0BCBAE" w14:textId="77777777" w:rsidR="005555C4" w:rsidRPr="00746499" w:rsidRDefault="005555C4" w:rsidP="005555C4">
            <w:pPr>
              <w:pStyle w:val="ListParagraph"/>
              <w:rPr>
                <w:b/>
                <w:sz w:val="17"/>
                <w:szCs w:val="17"/>
                <w:lang w:eastAsia="uz-Cyrl-UZ"/>
              </w:rPr>
            </w:pPr>
          </w:p>
          <w:p w14:paraId="1291B27F" w14:textId="77777777" w:rsidR="005555C4" w:rsidRPr="00746499" w:rsidRDefault="005555C4" w:rsidP="005555C4">
            <w:pPr>
              <w:widowControl w:val="0"/>
              <w:rPr>
                <w:iCs/>
                <w:sz w:val="17"/>
                <w:szCs w:val="17"/>
                <w:lang w:val="en-GB"/>
              </w:rPr>
            </w:pPr>
            <w:r w:rsidRPr="00746499">
              <w:rPr>
                <w:b/>
                <w:sz w:val="17"/>
                <w:szCs w:val="17"/>
                <w:lang w:eastAsia="uz-Cyrl-UZ"/>
              </w:rPr>
              <w:t xml:space="preserve">Baseline </w:t>
            </w:r>
            <w:r w:rsidRPr="00746499">
              <w:rPr>
                <w:sz w:val="17"/>
                <w:szCs w:val="17"/>
                <w:lang w:val="en-GB"/>
              </w:rPr>
              <w:t>(</w:t>
            </w:r>
            <w:r w:rsidRPr="00746499">
              <w:rPr>
                <w:iCs/>
                <w:sz w:val="17"/>
                <w:szCs w:val="17"/>
                <w:lang w:val="en-GB"/>
              </w:rPr>
              <w:t>2013): 8.4 Mt/year CO2 equivalent</w:t>
            </w:r>
          </w:p>
          <w:p w14:paraId="7A797545" w14:textId="77777777" w:rsidR="005555C4" w:rsidRPr="00746499" w:rsidRDefault="005555C4" w:rsidP="005555C4">
            <w:pPr>
              <w:rPr>
                <w:b/>
                <w:bCs/>
                <w:color w:val="000000"/>
                <w:sz w:val="17"/>
                <w:szCs w:val="17"/>
                <w:shd w:val="clear" w:color="auto" w:fill="DBE5F1"/>
              </w:rPr>
            </w:pPr>
            <w:r w:rsidRPr="00746499">
              <w:rPr>
                <w:b/>
                <w:sz w:val="17"/>
                <w:szCs w:val="17"/>
                <w:lang w:eastAsia="uz-Cyrl-UZ"/>
              </w:rPr>
              <w:t>Target (</w:t>
            </w:r>
            <w:r w:rsidRPr="00746499">
              <w:rPr>
                <w:iCs/>
                <w:sz w:val="17"/>
                <w:szCs w:val="17"/>
                <w:lang w:val="en-GB"/>
              </w:rPr>
              <w:t xml:space="preserve">2022): 20 percentage points  </w:t>
            </w:r>
          </w:p>
          <w:p w14:paraId="2094CEAE" w14:textId="77777777" w:rsidR="005555C4" w:rsidRPr="00746499" w:rsidRDefault="005555C4" w:rsidP="005555C4">
            <w:pPr>
              <w:rPr>
                <w:b/>
                <w:sz w:val="17"/>
                <w:szCs w:val="17"/>
                <w:lang w:val="en-GB"/>
              </w:rPr>
            </w:pPr>
          </w:p>
          <w:p w14:paraId="07C9B15F" w14:textId="77777777" w:rsidR="005555C4" w:rsidRPr="00746499" w:rsidRDefault="005555C4" w:rsidP="005555C4">
            <w:pPr>
              <w:rPr>
                <w:b/>
                <w:sz w:val="17"/>
                <w:szCs w:val="17"/>
                <w:lang w:val="en-GB"/>
              </w:rPr>
            </w:pPr>
          </w:p>
          <w:p w14:paraId="5FA639EA" w14:textId="77777777" w:rsidR="005555C4" w:rsidRPr="00746499" w:rsidRDefault="005555C4" w:rsidP="005555C4">
            <w:pPr>
              <w:rPr>
                <w:sz w:val="17"/>
                <w:szCs w:val="17"/>
                <w:lang w:eastAsia="uz-Cyrl-UZ"/>
              </w:rPr>
            </w:pPr>
            <w:r w:rsidRPr="00746499">
              <w:rPr>
                <w:b/>
                <w:sz w:val="17"/>
                <w:szCs w:val="17"/>
                <w:lang w:val="en-GB"/>
              </w:rPr>
              <w:t>Indicator</w:t>
            </w:r>
            <w:r w:rsidRPr="00746499">
              <w:rPr>
                <w:sz w:val="17"/>
                <w:szCs w:val="17"/>
                <w:lang w:val="en-GB"/>
              </w:rPr>
              <w:t xml:space="preserve">: </w:t>
            </w:r>
            <w:r w:rsidRPr="00746499">
              <w:rPr>
                <w:sz w:val="17"/>
                <w:szCs w:val="17"/>
                <w:lang w:eastAsia="uz-Cyrl-UZ"/>
              </w:rPr>
              <w:t xml:space="preserve">Share of renewables in the gross final energy consumption </w:t>
            </w:r>
          </w:p>
          <w:p w14:paraId="0708ACE3" w14:textId="77777777" w:rsidR="005555C4" w:rsidRPr="00746499" w:rsidRDefault="005555C4" w:rsidP="005555C4">
            <w:pPr>
              <w:widowControl w:val="0"/>
              <w:rPr>
                <w:iCs/>
                <w:sz w:val="17"/>
                <w:szCs w:val="17"/>
                <w:lang w:val="en-GB"/>
              </w:rPr>
            </w:pPr>
            <w:r w:rsidRPr="00746499">
              <w:rPr>
                <w:b/>
                <w:sz w:val="17"/>
                <w:szCs w:val="17"/>
                <w:lang w:eastAsia="uz-Cyrl-UZ"/>
              </w:rPr>
              <w:t xml:space="preserve">Baseline </w:t>
            </w:r>
            <w:r w:rsidRPr="00746499">
              <w:rPr>
                <w:sz w:val="17"/>
                <w:szCs w:val="17"/>
                <w:lang w:val="en-GB"/>
              </w:rPr>
              <w:t>(</w:t>
            </w:r>
            <w:r w:rsidRPr="00746499">
              <w:rPr>
                <w:iCs/>
                <w:sz w:val="17"/>
                <w:szCs w:val="17"/>
                <w:lang w:val="en-GB"/>
              </w:rPr>
              <w:t>2016): 14,2%</w:t>
            </w:r>
          </w:p>
          <w:p w14:paraId="72DD4300" w14:textId="77777777" w:rsidR="005555C4" w:rsidRPr="00746499" w:rsidRDefault="005555C4" w:rsidP="005555C4">
            <w:pPr>
              <w:rPr>
                <w:b/>
                <w:bCs/>
                <w:color w:val="000000"/>
                <w:sz w:val="17"/>
                <w:szCs w:val="17"/>
                <w:shd w:val="clear" w:color="auto" w:fill="DBE5F1"/>
              </w:rPr>
            </w:pPr>
            <w:r w:rsidRPr="00746499">
              <w:rPr>
                <w:b/>
                <w:sz w:val="17"/>
                <w:szCs w:val="17"/>
                <w:lang w:eastAsia="uz-Cyrl-UZ"/>
              </w:rPr>
              <w:t>Target (</w:t>
            </w:r>
            <w:r w:rsidRPr="00746499">
              <w:rPr>
                <w:iCs/>
                <w:sz w:val="17"/>
                <w:szCs w:val="17"/>
                <w:lang w:val="en-GB"/>
              </w:rPr>
              <w:t xml:space="preserve">2022): 17%  </w:t>
            </w:r>
          </w:p>
        </w:tc>
        <w:tc>
          <w:tcPr>
            <w:tcW w:w="686" w:type="pct"/>
            <w:gridSpan w:val="2"/>
            <w:vMerge w:val="restart"/>
            <w:shd w:val="clear" w:color="auto" w:fill="FFFFFF" w:themeFill="background1"/>
          </w:tcPr>
          <w:p w14:paraId="2D603C3B" w14:textId="77777777" w:rsidR="005555C4" w:rsidRPr="00746499" w:rsidRDefault="005555C4" w:rsidP="005555C4">
            <w:pPr>
              <w:rPr>
                <w:sz w:val="17"/>
                <w:szCs w:val="17"/>
                <w:lang w:eastAsia="uz-Cyrl-UZ"/>
              </w:rPr>
            </w:pPr>
            <w:r w:rsidRPr="00746499">
              <w:rPr>
                <w:sz w:val="17"/>
                <w:szCs w:val="17"/>
                <w:lang w:eastAsia="uz-Cyrl-UZ"/>
              </w:rPr>
              <w:t>Intended nationally determined contribution of Moldova</w:t>
            </w:r>
          </w:p>
          <w:p w14:paraId="5FF36631" w14:textId="77777777" w:rsidR="005555C4" w:rsidRPr="00746499" w:rsidRDefault="005555C4" w:rsidP="005555C4">
            <w:pPr>
              <w:rPr>
                <w:sz w:val="17"/>
                <w:szCs w:val="17"/>
                <w:lang w:eastAsia="uz-Cyrl-UZ"/>
              </w:rPr>
            </w:pPr>
          </w:p>
          <w:p w14:paraId="17A45FF0" w14:textId="1C432122" w:rsidR="005555C4" w:rsidRPr="00746499" w:rsidRDefault="005555C4" w:rsidP="005555C4">
            <w:pPr>
              <w:rPr>
                <w:sz w:val="17"/>
                <w:szCs w:val="17"/>
                <w:lang w:eastAsia="uz-Cyrl-UZ"/>
              </w:rPr>
            </w:pPr>
            <w:r w:rsidRPr="00746499">
              <w:rPr>
                <w:sz w:val="17"/>
                <w:szCs w:val="17"/>
                <w:lang w:eastAsia="uz-Cyrl-UZ"/>
              </w:rPr>
              <w:t>National Bi-</w:t>
            </w:r>
            <w:r w:rsidR="00BE51E5">
              <w:rPr>
                <w:sz w:val="17"/>
                <w:szCs w:val="17"/>
                <w:lang w:eastAsia="uz-Cyrl-UZ"/>
              </w:rPr>
              <w:t>a</w:t>
            </w:r>
            <w:r w:rsidRPr="00746499">
              <w:rPr>
                <w:sz w:val="17"/>
                <w:szCs w:val="17"/>
                <w:lang w:eastAsia="uz-Cyrl-UZ"/>
              </w:rPr>
              <w:t>nnual update report</w:t>
            </w:r>
          </w:p>
          <w:p w14:paraId="18013083" w14:textId="62C0F493" w:rsidR="005555C4" w:rsidRPr="00746499" w:rsidRDefault="005555C4" w:rsidP="005555C4">
            <w:pPr>
              <w:rPr>
                <w:b/>
                <w:bCs/>
                <w:color w:val="000000"/>
                <w:sz w:val="17"/>
                <w:szCs w:val="17"/>
                <w:shd w:val="clear" w:color="auto" w:fill="DBE5F1"/>
              </w:rPr>
            </w:pPr>
            <w:r w:rsidRPr="00746499">
              <w:rPr>
                <w:sz w:val="17"/>
                <w:szCs w:val="17"/>
                <w:lang w:eastAsia="uz-Cyrl-UZ"/>
              </w:rPr>
              <w:t> </w:t>
            </w:r>
          </w:p>
          <w:p w14:paraId="00AEDF85" w14:textId="77777777" w:rsidR="005555C4" w:rsidRPr="00746499" w:rsidRDefault="00433F0B" w:rsidP="005555C4">
            <w:pPr>
              <w:rPr>
                <w:b/>
                <w:bCs/>
                <w:color w:val="000000"/>
                <w:sz w:val="17"/>
                <w:szCs w:val="17"/>
                <w:shd w:val="clear" w:color="auto" w:fill="DBE5F1"/>
              </w:rPr>
            </w:pPr>
            <w:r w:rsidRPr="00746499">
              <w:rPr>
                <w:sz w:val="17"/>
                <w:szCs w:val="17"/>
                <w:lang w:eastAsia="uz-Cyrl-UZ"/>
              </w:rPr>
              <w:t xml:space="preserve"> </w:t>
            </w:r>
            <w:r w:rsidR="005555C4" w:rsidRPr="00746499">
              <w:rPr>
                <w:sz w:val="17"/>
                <w:szCs w:val="17"/>
                <w:lang w:eastAsia="uz-Cyrl-UZ"/>
              </w:rPr>
              <w:t>Energy balance</w:t>
            </w:r>
          </w:p>
        </w:tc>
        <w:tc>
          <w:tcPr>
            <w:tcW w:w="1528" w:type="pct"/>
            <w:gridSpan w:val="2"/>
            <w:vMerge w:val="restart"/>
            <w:shd w:val="clear" w:color="auto" w:fill="FFFFFF" w:themeFill="background1"/>
            <w:tcMar>
              <w:top w:w="72" w:type="dxa"/>
              <w:left w:w="144" w:type="dxa"/>
              <w:bottom w:w="72" w:type="dxa"/>
              <w:right w:w="144" w:type="dxa"/>
            </w:tcMar>
          </w:tcPr>
          <w:p w14:paraId="4FC1A132" w14:textId="77777777" w:rsidR="005555C4" w:rsidRPr="00746499" w:rsidRDefault="005555C4" w:rsidP="005555C4">
            <w:pPr>
              <w:rPr>
                <w:b/>
                <w:iCs/>
                <w:sz w:val="17"/>
                <w:szCs w:val="17"/>
                <w:lang w:val="en-GB"/>
              </w:rPr>
            </w:pPr>
            <w:r w:rsidRPr="00746499">
              <w:rPr>
                <w:b/>
                <w:iCs/>
                <w:sz w:val="17"/>
                <w:szCs w:val="17"/>
                <w:lang w:val="en-GB"/>
              </w:rPr>
              <w:t xml:space="preserve">OUTPUT 3.1: Enhanced use of renewables and advanced energy efficiency  </w:t>
            </w:r>
          </w:p>
          <w:p w14:paraId="5251D7A0" w14:textId="77777777" w:rsidR="005555C4" w:rsidRPr="00746499" w:rsidRDefault="005555C4" w:rsidP="005555C4">
            <w:pPr>
              <w:rPr>
                <w:b/>
                <w:iCs/>
                <w:sz w:val="17"/>
                <w:szCs w:val="17"/>
                <w:lang w:val="en-GB"/>
              </w:rPr>
            </w:pPr>
          </w:p>
          <w:p w14:paraId="28C9FFF9" w14:textId="77777777" w:rsidR="005555C4" w:rsidRPr="00746499" w:rsidRDefault="005555C4" w:rsidP="005555C4">
            <w:pPr>
              <w:rPr>
                <w:iCs/>
                <w:sz w:val="17"/>
                <w:szCs w:val="17"/>
                <w:lang w:val="en-GB"/>
              </w:rPr>
            </w:pPr>
            <w:r w:rsidRPr="00746499">
              <w:rPr>
                <w:b/>
                <w:iCs/>
                <w:sz w:val="17"/>
                <w:szCs w:val="17"/>
                <w:lang w:val="en-GB"/>
              </w:rPr>
              <w:t>Indicator 3.1.1</w:t>
            </w:r>
            <w:r w:rsidRPr="00746499">
              <w:rPr>
                <w:iCs/>
                <w:sz w:val="17"/>
                <w:szCs w:val="17"/>
                <w:lang w:val="en-GB"/>
              </w:rPr>
              <w:t xml:space="preserve">: Number of public and residential buildings with improved level of energy efficiency </w:t>
            </w:r>
          </w:p>
          <w:p w14:paraId="686DCE0B" w14:textId="77777777" w:rsidR="005555C4" w:rsidRPr="00746499" w:rsidRDefault="005555C4" w:rsidP="005555C4">
            <w:pPr>
              <w:rPr>
                <w:b/>
                <w:iCs/>
                <w:sz w:val="17"/>
                <w:szCs w:val="17"/>
                <w:lang w:val="en-GB"/>
              </w:rPr>
            </w:pPr>
            <w:r w:rsidRPr="00746499">
              <w:rPr>
                <w:b/>
                <w:iCs/>
                <w:sz w:val="17"/>
                <w:szCs w:val="17"/>
                <w:lang w:val="en-GB"/>
              </w:rPr>
              <w:t xml:space="preserve">Baseline </w:t>
            </w:r>
            <w:r w:rsidRPr="00746499">
              <w:rPr>
                <w:iCs/>
                <w:sz w:val="17"/>
                <w:szCs w:val="17"/>
                <w:lang w:val="en-GB"/>
              </w:rPr>
              <w:t>(2016)</w:t>
            </w:r>
            <w:r w:rsidRPr="00746499">
              <w:rPr>
                <w:b/>
                <w:iCs/>
                <w:sz w:val="17"/>
                <w:szCs w:val="17"/>
                <w:lang w:val="en-GB"/>
              </w:rPr>
              <w:t xml:space="preserve">: </w:t>
            </w:r>
            <w:r w:rsidRPr="00746499">
              <w:rPr>
                <w:iCs/>
                <w:sz w:val="17"/>
                <w:szCs w:val="17"/>
                <w:lang w:val="en-GB"/>
              </w:rPr>
              <w:t>0 public and 0 residential buildings</w:t>
            </w:r>
          </w:p>
          <w:p w14:paraId="57866CFD" w14:textId="77777777" w:rsidR="005555C4" w:rsidRPr="00746499" w:rsidRDefault="005555C4" w:rsidP="005555C4">
            <w:pPr>
              <w:rPr>
                <w:iCs/>
                <w:sz w:val="17"/>
                <w:szCs w:val="17"/>
                <w:lang w:val="en-GB"/>
              </w:rPr>
            </w:pPr>
            <w:r w:rsidRPr="00746499">
              <w:rPr>
                <w:b/>
                <w:iCs/>
                <w:sz w:val="17"/>
                <w:szCs w:val="17"/>
                <w:lang w:val="en-GB"/>
              </w:rPr>
              <w:t xml:space="preserve">Target: </w:t>
            </w:r>
            <w:r w:rsidRPr="00746499">
              <w:rPr>
                <w:iCs/>
                <w:sz w:val="17"/>
                <w:szCs w:val="17"/>
                <w:lang w:val="en-GB"/>
              </w:rPr>
              <w:t>15 public and 5 residential</w:t>
            </w:r>
          </w:p>
          <w:p w14:paraId="5B0FFC73" w14:textId="6AEE00F6" w:rsidR="005555C4" w:rsidRPr="00746499" w:rsidRDefault="006D5EA9" w:rsidP="005555C4">
            <w:pPr>
              <w:rPr>
                <w:b/>
                <w:bCs/>
                <w:color w:val="000000"/>
                <w:sz w:val="17"/>
                <w:szCs w:val="17"/>
                <w:shd w:val="clear" w:color="auto" w:fill="DBE5F1"/>
              </w:rPr>
            </w:pPr>
            <w:r>
              <w:rPr>
                <w:b/>
                <w:iCs/>
                <w:sz w:val="17"/>
                <w:szCs w:val="17"/>
                <w:lang w:val="en-GB"/>
              </w:rPr>
              <w:t>Means of v</w:t>
            </w:r>
            <w:r w:rsidR="005555C4" w:rsidRPr="00746499">
              <w:rPr>
                <w:b/>
                <w:iCs/>
                <w:sz w:val="17"/>
                <w:szCs w:val="17"/>
                <w:lang w:val="en-GB"/>
              </w:rPr>
              <w:t>erification:</w:t>
            </w:r>
            <w:r w:rsidR="005555C4" w:rsidRPr="00746499">
              <w:rPr>
                <w:iCs/>
                <w:sz w:val="17"/>
                <w:szCs w:val="17"/>
                <w:lang w:val="en-GB"/>
              </w:rPr>
              <w:t xml:space="preserve"> </w:t>
            </w:r>
            <w:r w:rsidR="00360DAF" w:rsidRPr="00746499">
              <w:rPr>
                <w:iCs/>
                <w:sz w:val="17"/>
                <w:szCs w:val="17"/>
                <w:lang w:val="en-GB"/>
              </w:rPr>
              <w:t xml:space="preserve">Energy Efficiency Agency </w:t>
            </w:r>
            <w:r w:rsidR="005555C4" w:rsidRPr="00746499">
              <w:rPr>
                <w:iCs/>
                <w:sz w:val="17"/>
                <w:szCs w:val="17"/>
                <w:lang w:val="en-GB"/>
              </w:rPr>
              <w:t>Annual Reports</w:t>
            </w:r>
          </w:p>
          <w:p w14:paraId="0F54C01E" w14:textId="77777777" w:rsidR="005555C4" w:rsidRPr="00746499" w:rsidRDefault="005555C4" w:rsidP="005555C4">
            <w:pPr>
              <w:rPr>
                <w:b/>
                <w:iCs/>
                <w:sz w:val="17"/>
                <w:szCs w:val="17"/>
                <w:lang w:val="en-GB"/>
              </w:rPr>
            </w:pPr>
          </w:p>
          <w:p w14:paraId="415AE76F" w14:textId="77777777" w:rsidR="005555C4" w:rsidRPr="00746499" w:rsidRDefault="005555C4" w:rsidP="005555C4">
            <w:pPr>
              <w:rPr>
                <w:i/>
                <w:iCs/>
                <w:color w:val="0000FF"/>
                <w:sz w:val="17"/>
                <w:szCs w:val="17"/>
                <w:lang w:val="en-GB"/>
              </w:rPr>
            </w:pPr>
            <w:r w:rsidRPr="00746499">
              <w:rPr>
                <w:b/>
                <w:iCs/>
                <w:sz w:val="17"/>
                <w:szCs w:val="17"/>
                <w:lang w:val="en-GB"/>
              </w:rPr>
              <w:t>Indicator 3.1.2</w:t>
            </w:r>
            <w:r w:rsidRPr="00746499">
              <w:rPr>
                <w:iCs/>
                <w:sz w:val="17"/>
                <w:szCs w:val="17"/>
                <w:lang w:val="en-GB"/>
              </w:rPr>
              <w:t>: Total number of people with improved access to renewable energy (in public institutions and households)/</w:t>
            </w:r>
            <w:r w:rsidRPr="00746499">
              <w:rPr>
                <w:sz w:val="17"/>
                <w:szCs w:val="17"/>
              </w:rPr>
              <w:t xml:space="preserve"> </w:t>
            </w:r>
            <w:r w:rsidR="00EE7E6B" w:rsidRPr="00746499">
              <w:rPr>
                <w:iCs/>
                <w:sz w:val="17"/>
                <w:szCs w:val="17"/>
                <w:lang w:val="en-GB"/>
              </w:rPr>
              <w:t>share</w:t>
            </w:r>
            <w:r w:rsidR="00905674" w:rsidRPr="00746499">
              <w:rPr>
                <w:iCs/>
                <w:sz w:val="17"/>
                <w:szCs w:val="17"/>
                <w:lang w:val="en-GB"/>
              </w:rPr>
              <w:t xml:space="preserve"> </w:t>
            </w:r>
            <w:r w:rsidRPr="00746499">
              <w:rPr>
                <w:iCs/>
                <w:sz w:val="17"/>
                <w:szCs w:val="17"/>
                <w:lang w:val="en-GB"/>
              </w:rPr>
              <w:t>of female headed households benefitting from improved renewable energy access</w:t>
            </w:r>
            <w:r w:rsidR="005108DA" w:rsidRPr="00746499">
              <w:rPr>
                <w:rStyle w:val="FootnoteReference"/>
                <w:iCs/>
                <w:sz w:val="17"/>
                <w:szCs w:val="17"/>
                <w:lang w:val="en-GB"/>
              </w:rPr>
              <w:footnoteReference w:id="29"/>
            </w:r>
          </w:p>
          <w:p w14:paraId="576D716D" w14:textId="77777777" w:rsidR="005555C4" w:rsidRPr="00746499" w:rsidRDefault="005555C4" w:rsidP="005555C4">
            <w:pPr>
              <w:rPr>
                <w:b/>
                <w:iCs/>
                <w:sz w:val="17"/>
                <w:szCs w:val="17"/>
                <w:lang w:val="en-GB"/>
              </w:rPr>
            </w:pPr>
            <w:r w:rsidRPr="00746499">
              <w:rPr>
                <w:b/>
                <w:iCs/>
                <w:sz w:val="17"/>
                <w:szCs w:val="17"/>
                <w:lang w:val="en-GB"/>
              </w:rPr>
              <w:t xml:space="preserve">Baseline </w:t>
            </w:r>
            <w:r w:rsidRPr="00746499">
              <w:rPr>
                <w:iCs/>
                <w:sz w:val="17"/>
                <w:szCs w:val="17"/>
                <w:lang w:val="en-GB"/>
              </w:rPr>
              <w:t>(2016)</w:t>
            </w:r>
            <w:r w:rsidRPr="00746499">
              <w:rPr>
                <w:b/>
                <w:iCs/>
                <w:sz w:val="17"/>
                <w:szCs w:val="17"/>
                <w:lang w:val="en-GB"/>
              </w:rPr>
              <w:t xml:space="preserve">: </w:t>
            </w:r>
            <w:r w:rsidRPr="00746499">
              <w:rPr>
                <w:sz w:val="17"/>
                <w:szCs w:val="17"/>
                <w:lang w:val="en-GB"/>
              </w:rPr>
              <w:t xml:space="preserve">156.899/20%,  </w:t>
            </w:r>
          </w:p>
          <w:p w14:paraId="1CA55637" w14:textId="77777777" w:rsidR="005555C4" w:rsidRPr="00746499" w:rsidRDefault="005555C4" w:rsidP="005555C4">
            <w:pPr>
              <w:rPr>
                <w:iCs/>
                <w:sz w:val="17"/>
                <w:szCs w:val="17"/>
                <w:lang w:val="en-GB"/>
              </w:rPr>
            </w:pPr>
            <w:r w:rsidRPr="00746499">
              <w:rPr>
                <w:b/>
                <w:iCs/>
                <w:sz w:val="17"/>
                <w:szCs w:val="17"/>
                <w:lang w:val="en-GB"/>
              </w:rPr>
              <w:t xml:space="preserve">Target: </w:t>
            </w:r>
            <w:r w:rsidRPr="00746499">
              <w:rPr>
                <w:sz w:val="17"/>
                <w:szCs w:val="17"/>
                <w:lang w:val="en-GB"/>
              </w:rPr>
              <w:t>192.773/27%</w:t>
            </w:r>
          </w:p>
          <w:p w14:paraId="475DFB33" w14:textId="1F739128" w:rsidR="005555C4" w:rsidRPr="00E07231" w:rsidRDefault="005555C4" w:rsidP="005555C4">
            <w:pPr>
              <w:rPr>
                <w:iCs/>
                <w:sz w:val="17"/>
                <w:szCs w:val="17"/>
                <w:lang w:val="en-GB"/>
              </w:rPr>
            </w:pPr>
            <w:r w:rsidRPr="00746499">
              <w:rPr>
                <w:b/>
                <w:iCs/>
                <w:sz w:val="17"/>
                <w:szCs w:val="17"/>
                <w:lang w:val="en-GB"/>
              </w:rPr>
              <w:t>Means of verification</w:t>
            </w:r>
            <w:r w:rsidRPr="00746499">
              <w:rPr>
                <w:iCs/>
                <w:sz w:val="17"/>
                <w:szCs w:val="17"/>
                <w:lang w:val="en-GB"/>
              </w:rPr>
              <w:t xml:space="preserve">: Energy Efficiency Fund’s report </w:t>
            </w:r>
          </w:p>
        </w:tc>
        <w:tc>
          <w:tcPr>
            <w:tcW w:w="770" w:type="pct"/>
            <w:gridSpan w:val="2"/>
            <w:vMerge w:val="restart"/>
            <w:shd w:val="clear" w:color="auto" w:fill="FFFFFF" w:themeFill="background1"/>
          </w:tcPr>
          <w:p w14:paraId="3080060E" w14:textId="77777777" w:rsidR="003A6778" w:rsidRPr="00746499" w:rsidRDefault="005555C4" w:rsidP="005555C4">
            <w:pPr>
              <w:rPr>
                <w:iCs/>
                <w:color w:val="000000"/>
                <w:sz w:val="17"/>
                <w:szCs w:val="17"/>
                <w:lang w:val="en-GB"/>
              </w:rPr>
            </w:pPr>
            <w:r w:rsidRPr="00746499">
              <w:rPr>
                <w:iCs/>
                <w:color w:val="000000"/>
                <w:sz w:val="17"/>
                <w:szCs w:val="17"/>
                <w:lang w:val="en-GB"/>
              </w:rPr>
              <w:t xml:space="preserve">Energy Efficiency Agency, </w:t>
            </w:r>
          </w:p>
          <w:p w14:paraId="06786F65" w14:textId="643CD663" w:rsidR="002F57A2" w:rsidRPr="00746499" w:rsidRDefault="002F57A2" w:rsidP="005555C4">
            <w:pPr>
              <w:rPr>
                <w:iCs/>
                <w:color w:val="000000"/>
                <w:sz w:val="17"/>
                <w:szCs w:val="17"/>
                <w:lang w:val="en-GB"/>
              </w:rPr>
            </w:pPr>
            <w:r w:rsidRPr="00746499">
              <w:rPr>
                <w:sz w:val="17"/>
                <w:szCs w:val="17"/>
              </w:rPr>
              <w:t>Ministry of Environment</w:t>
            </w:r>
            <w:r w:rsidR="00F0194D" w:rsidRPr="00746499">
              <w:rPr>
                <w:iCs/>
                <w:color w:val="000000"/>
                <w:sz w:val="17"/>
                <w:szCs w:val="17"/>
                <w:lang w:val="en-GB"/>
              </w:rPr>
              <w:t>,</w:t>
            </w:r>
          </w:p>
          <w:p w14:paraId="5BF87B56" w14:textId="480D918B" w:rsidR="002F57A2" w:rsidRPr="00746499" w:rsidRDefault="002F57A2" w:rsidP="005555C4">
            <w:pPr>
              <w:rPr>
                <w:iCs/>
                <w:color w:val="000000"/>
                <w:sz w:val="17"/>
                <w:szCs w:val="17"/>
                <w:lang w:val="en-GB"/>
              </w:rPr>
            </w:pPr>
            <w:r w:rsidRPr="00746499">
              <w:rPr>
                <w:sz w:val="17"/>
                <w:szCs w:val="17"/>
              </w:rPr>
              <w:t>Ministry of Regional Development and Construction</w:t>
            </w:r>
            <w:r w:rsidR="005555C4" w:rsidRPr="00746499">
              <w:rPr>
                <w:iCs/>
                <w:color w:val="000000"/>
                <w:sz w:val="17"/>
                <w:szCs w:val="17"/>
                <w:lang w:val="en-GB"/>
              </w:rPr>
              <w:t xml:space="preserve"> </w:t>
            </w:r>
          </w:p>
          <w:p w14:paraId="7B7AAF89" w14:textId="66A08495" w:rsidR="005555C4" w:rsidRPr="00746499" w:rsidRDefault="005555C4" w:rsidP="005555C4">
            <w:pPr>
              <w:rPr>
                <w:iCs/>
                <w:color w:val="000000"/>
                <w:sz w:val="17"/>
                <w:szCs w:val="17"/>
                <w:lang w:val="en-GB"/>
              </w:rPr>
            </w:pPr>
            <w:r w:rsidRPr="00746499">
              <w:rPr>
                <w:iCs/>
                <w:color w:val="000000"/>
                <w:sz w:val="17"/>
                <w:szCs w:val="17"/>
                <w:lang w:val="en-GB"/>
              </w:rPr>
              <w:t xml:space="preserve">National Climate Change Office  </w:t>
            </w:r>
          </w:p>
          <w:p w14:paraId="34C696D9" w14:textId="2CC9FF6F" w:rsidR="005B4A2C" w:rsidRPr="00746499" w:rsidRDefault="005B4A2C" w:rsidP="005555C4">
            <w:pPr>
              <w:rPr>
                <w:iCs/>
                <w:color w:val="000000"/>
                <w:sz w:val="17"/>
                <w:szCs w:val="17"/>
                <w:lang w:val="en-GB"/>
              </w:rPr>
            </w:pPr>
            <w:r w:rsidRPr="00746499">
              <w:rPr>
                <w:iCs/>
                <w:color w:val="000000"/>
                <w:sz w:val="17"/>
                <w:szCs w:val="17"/>
                <w:lang w:val="en-GB"/>
              </w:rPr>
              <w:t>EU</w:t>
            </w:r>
          </w:p>
          <w:p w14:paraId="5C590037" w14:textId="4C6D0CC4" w:rsidR="005B4A2C" w:rsidRPr="00746499" w:rsidRDefault="005B4A2C" w:rsidP="005555C4">
            <w:pPr>
              <w:rPr>
                <w:bCs/>
                <w:color w:val="000000"/>
                <w:sz w:val="17"/>
                <w:szCs w:val="17"/>
                <w:shd w:val="clear" w:color="auto" w:fill="DBE5F1"/>
              </w:rPr>
            </w:pPr>
            <w:r w:rsidRPr="00746499">
              <w:rPr>
                <w:iCs/>
                <w:color w:val="000000"/>
                <w:sz w:val="17"/>
                <w:szCs w:val="17"/>
                <w:lang w:val="en-GB"/>
              </w:rPr>
              <w:t xml:space="preserve">Green Climate Fund </w:t>
            </w:r>
          </w:p>
          <w:p w14:paraId="2CAD1D12" w14:textId="77777777" w:rsidR="005555C4" w:rsidRPr="00746499" w:rsidRDefault="005555C4" w:rsidP="005555C4">
            <w:pPr>
              <w:rPr>
                <w:iCs/>
                <w:color w:val="000000"/>
                <w:sz w:val="17"/>
                <w:szCs w:val="17"/>
                <w:lang w:val="en-GB"/>
              </w:rPr>
            </w:pPr>
          </w:p>
          <w:p w14:paraId="47049491" w14:textId="5A1AAAD1" w:rsidR="002F57A2" w:rsidRPr="00746499" w:rsidRDefault="00F40B2C" w:rsidP="00992B72">
            <w:pPr>
              <w:rPr>
                <w:iCs/>
                <w:color w:val="000000"/>
                <w:sz w:val="17"/>
                <w:szCs w:val="17"/>
                <w:lang w:val="en-GB"/>
              </w:rPr>
            </w:pPr>
            <w:r w:rsidRPr="00746499">
              <w:rPr>
                <w:iCs/>
                <w:color w:val="000000"/>
                <w:sz w:val="17"/>
                <w:szCs w:val="17"/>
                <w:lang w:val="en-GB"/>
              </w:rPr>
              <w:t>Ministry of Education</w:t>
            </w:r>
            <w:r w:rsidR="005555C4" w:rsidRPr="00746499">
              <w:rPr>
                <w:iCs/>
                <w:color w:val="000000"/>
                <w:sz w:val="17"/>
                <w:szCs w:val="17"/>
                <w:lang w:val="en-GB"/>
              </w:rPr>
              <w:t xml:space="preserve"> </w:t>
            </w:r>
          </w:p>
          <w:p w14:paraId="27A73B96" w14:textId="4C180225" w:rsidR="002F57A2" w:rsidRPr="00746499" w:rsidRDefault="00992B72" w:rsidP="00992B72">
            <w:pPr>
              <w:rPr>
                <w:iCs/>
                <w:color w:val="000000"/>
                <w:sz w:val="17"/>
                <w:szCs w:val="17"/>
                <w:lang w:val="en-GB"/>
              </w:rPr>
            </w:pPr>
            <w:r w:rsidRPr="00746499">
              <w:rPr>
                <w:iCs/>
                <w:color w:val="000000"/>
                <w:sz w:val="17"/>
                <w:szCs w:val="17"/>
                <w:lang w:val="en-GB"/>
              </w:rPr>
              <w:t>private sector</w:t>
            </w:r>
            <w:r w:rsidR="005555C4" w:rsidRPr="00746499">
              <w:rPr>
                <w:iCs/>
                <w:color w:val="000000"/>
                <w:sz w:val="17"/>
                <w:szCs w:val="17"/>
                <w:lang w:val="en-GB"/>
              </w:rPr>
              <w:t xml:space="preserve"> </w:t>
            </w:r>
          </w:p>
          <w:p w14:paraId="4F01F691" w14:textId="501726B3" w:rsidR="002F57A2" w:rsidRPr="00746499" w:rsidRDefault="00992B72" w:rsidP="00992B72">
            <w:pPr>
              <w:rPr>
                <w:iCs/>
                <w:color w:val="000000"/>
                <w:sz w:val="17"/>
                <w:szCs w:val="17"/>
                <w:lang w:val="en-GB"/>
              </w:rPr>
            </w:pPr>
            <w:r w:rsidRPr="00746499">
              <w:rPr>
                <w:iCs/>
                <w:color w:val="000000"/>
                <w:sz w:val="17"/>
                <w:szCs w:val="17"/>
                <w:lang w:val="en-GB"/>
              </w:rPr>
              <w:t>research institutions</w:t>
            </w:r>
            <w:r w:rsidR="002F57A2" w:rsidRPr="00746499">
              <w:rPr>
                <w:iCs/>
                <w:color w:val="000000"/>
                <w:sz w:val="17"/>
                <w:szCs w:val="17"/>
                <w:lang w:val="en-GB"/>
              </w:rPr>
              <w:t xml:space="preserve"> </w:t>
            </w:r>
          </w:p>
          <w:p w14:paraId="08411096" w14:textId="23347207" w:rsidR="005555C4" w:rsidRPr="00746499" w:rsidRDefault="002F57A2" w:rsidP="002F57A2">
            <w:pPr>
              <w:rPr>
                <w:bCs/>
                <w:color w:val="000000"/>
                <w:sz w:val="17"/>
                <w:szCs w:val="17"/>
                <w:shd w:val="clear" w:color="auto" w:fill="DBE5F1"/>
              </w:rPr>
            </w:pPr>
            <w:r w:rsidRPr="00746499">
              <w:rPr>
                <w:iCs/>
                <w:color w:val="000000"/>
                <w:sz w:val="17"/>
                <w:szCs w:val="17"/>
                <w:lang w:val="en-GB"/>
              </w:rPr>
              <w:t>local municipalities</w:t>
            </w:r>
          </w:p>
        </w:tc>
        <w:tc>
          <w:tcPr>
            <w:tcW w:w="706" w:type="pct"/>
            <w:gridSpan w:val="2"/>
            <w:shd w:val="clear" w:color="auto" w:fill="FFFFFF" w:themeFill="background1"/>
            <w:tcMar>
              <w:top w:w="15" w:type="dxa"/>
              <w:left w:w="108" w:type="dxa"/>
              <w:bottom w:w="0" w:type="dxa"/>
              <w:right w:w="108" w:type="dxa"/>
            </w:tcMar>
          </w:tcPr>
          <w:p w14:paraId="247B7A09" w14:textId="7D2DB0C0" w:rsidR="005555C4" w:rsidRPr="007C7AF2" w:rsidRDefault="00FE4ECF" w:rsidP="007C7AF2">
            <w:pPr>
              <w:rPr>
                <w:b/>
                <w:color w:val="000000"/>
                <w:sz w:val="17"/>
                <w:szCs w:val="17"/>
              </w:rPr>
            </w:pPr>
            <w:r w:rsidRPr="00746499">
              <w:rPr>
                <w:b/>
                <w:color w:val="000000"/>
                <w:sz w:val="17"/>
                <w:szCs w:val="17"/>
              </w:rPr>
              <w:t xml:space="preserve">Regular: </w:t>
            </w:r>
            <w:r w:rsidR="00D93575" w:rsidRPr="00746499">
              <w:rPr>
                <w:b/>
                <w:color w:val="000000"/>
                <w:sz w:val="17"/>
                <w:szCs w:val="17"/>
              </w:rPr>
              <w:t>854</w:t>
            </w:r>
            <w:r w:rsidR="005555C4" w:rsidRPr="00746499">
              <w:rPr>
                <w:b/>
                <w:color w:val="000000"/>
                <w:sz w:val="17"/>
                <w:szCs w:val="17"/>
              </w:rPr>
              <w:t xml:space="preserve">,000 </w:t>
            </w:r>
          </w:p>
        </w:tc>
      </w:tr>
      <w:tr w:rsidR="005555C4" w:rsidRPr="00746499" w14:paraId="4261E23B" w14:textId="77777777" w:rsidTr="006C3F11">
        <w:trPr>
          <w:gridAfter w:val="1"/>
          <w:wAfter w:w="18" w:type="pct"/>
        </w:trPr>
        <w:tc>
          <w:tcPr>
            <w:tcW w:w="1292" w:type="pct"/>
            <w:vMerge/>
            <w:shd w:val="clear" w:color="auto" w:fill="DBE5F1" w:themeFill="accent1" w:themeFillTint="33"/>
            <w:tcMar>
              <w:top w:w="72" w:type="dxa"/>
              <w:left w:w="144" w:type="dxa"/>
              <w:bottom w:w="72" w:type="dxa"/>
              <w:right w:w="144" w:type="dxa"/>
            </w:tcMar>
          </w:tcPr>
          <w:p w14:paraId="597AF246" w14:textId="77777777" w:rsidR="005555C4" w:rsidRPr="00746499" w:rsidRDefault="005555C4" w:rsidP="005555C4">
            <w:pPr>
              <w:rPr>
                <w:b/>
                <w:bCs/>
                <w:color w:val="000000"/>
                <w:sz w:val="17"/>
                <w:szCs w:val="17"/>
                <w:shd w:val="clear" w:color="auto" w:fill="DBE5F1"/>
              </w:rPr>
            </w:pPr>
          </w:p>
        </w:tc>
        <w:tc>
          <w:tcPr>
            <w:tcW w:w="686" w:type="pct"/>
            <w:gridSpan w:val="2"/>
            <w:vMerge/>
            <w:shd w:val="clear" w:color="auto" w:fill="DBE5F1" w:themeFill="accent1" w:themeFillTint="33"/>
          </w:tcPr>
          <w:p w14:paraId="5CAD41CB" w14:textId="77777777" w:rsidR="005555C4" w:rsidRPr="00746499" w:rsidRDefault="005555C4" w:rsidP="005555C4">
            <w:pPr>
              <w:rPr>
                <w:b/>
                <w:bCs/>
                <w:color w:val="000000"/>
                <w:sz w:val="17"/>
                <w:szCs w:val="17"/>
                <w:shd w:val="clear" w:color="auto" w:fill="DBE5F1"/>
              </w:rPr>
            </w:pPr>
          </w:p>
        </w:tc>
        <w:tc>
          <w:tcPr>
            <w:tcW w:w="1528" w:type="pct"/>
            <w:gridSpan w:val="2"/>
            <w:vMerge/>
            <w:shd w:val="clear" w:color="auto" w:fill="DBE5F1" w:themeFill="accent1" w:themeFillTint="33"/>
            <w:tcMar>
              <w:top w:w="72" w:type="dxa"/>
              <w:left w:w="144" w:type="dxa"/>
              <w:bottom w:w="72" w:type="dxa"/>
              <w:right w:w="144" w:type="dxa"/>
            </w:tcMar>
          </w:tcPr>
          <w:p w14:paraId="7DC1E4D4" w14:textId="77777777" w:rsidR="005555C4" w:rsidRPr="00746499" w:rsidRDefault="005555C4" w:rsidP="005555C4">
            <w:pPr>
              <w:rPr>
                <w:b/>
                <w:bCs/>
                <w:color w:val="000000"/>
                <w:sz w:val="17"/>
                <w:szCs w:val="17"/>
                <w:shd w:val="clear" w:color="auto" w:fill="DBE5F1"/>
              </w:rPr>
            </w:pPr>
          </w:p>
        </w:tc>
        <w:tc>
          <w:tcPr>
            <w:tcW w:w="770" w:type="pct"/>
            <w:gridSpan w:val="2"/>
            <w:vMerge/>
            <w:shd w:val="clear" w:color="auto" w:fill="DBE5F1" w:themeFill="accent1" w:themeFillTint="33"/>
          </w:tcPr>
          <w:p w14:paraId="1274A24A" w14:textId="77777777" w:rsidR="005555C4" w:rsidRPr="00746499" w:rsidRDefault="005555C4" w:rsidP="005555C4">
            <w:pPr>
              <w:rPr>
                <w:bCs/>
                <w:color w:val="000000"/>
                <w:sz w:val="17"/>
                <w:szCs w:val="17"/>
                <w:shd w:val="clear" w:color="auto" w:fill="DBE5F1"/>
              </w:rPr>
            </w:pPr>
          </w:p>
        </w:tc>
        <w:tc>
          <w:tcPr>
            <w:tcW w:w="706" w:type="pct"/>
            <w:gridSpan w:val="2"/>
            <w:shd w:val="clear" w:color="auto" w:fill="FFFFFF" w:themeFill="background1"/>
            <w:tcMar>
              <w:top w:w="15" w:type="dxa"/>
              <w:left w:w="108" w:type="dxa"/>
              <w:bottom w:w="0" w:type="dxa"/>
              <w:right w:w="108" w:type="dxa"/>
            </w:tcMar>
          </w:tcPr>
          <w:p w14:paraId="1F829B5F" w14:textId="77777777" w:rsidR="005555C4" w:rsidRPr="00746499" w:rsidRDefault="005555C4" w:rsidP="005555C4">
            <w:pPr>
              <w:rPr>
                <w:b/>
                <w:color w:val="000000"/>
                <w:sz w:val="17"/>
                <w:szCs w:val="17"/>
              </w:rPr>
            </w:pPr>
            <w:r w:rsidRPr="00746499">
              <w:rPr>
                <w:b/>
                <w:color w:val="000000"/>
                <w:sz w:val="17"/>
                <w:szCs w:val="17"/>
              </w:rPr>
              <w:t xml:space="preserve">Other: </w:t>
            </w:r>
            <w:r w:rsidR="00F024DC" w:rsidRPr="00746499">
              <w:rPr>
                <w:b/>
                <w:color w:val="000000"/>
                <w:sz w:val="17"/>
                <w:szCs w:val="17"/>
              </w:rPr>
              <w:t>40</w:t>
            </w:r>
            <w:r w:rsidRPr="00746499">
              <w:rPr>
                <w:b/>
                <w:color w:val="000000"/>
                <w:sz w:val="17"/>
                <w:szCs w:val="17"/>
              </w:rPr>
              <w:t>,500,000</w:t>
            </w:r>
          </w:p>
          <w:p w14:paraId="708F3E9C" w14:textId="77777777" w:rsidR="005555C4" w:rsidRPr="00746499" w:rsidRDefault="005555C4" w:rsidP="005555C4">
            <w:pPr>
              <w:jc w:val="center"/>
              <w:rPr>
                <w:b/>
                <w:bCs/>
                <w:color w:val="000000"/>
                <w:sz w:val="17"/>
                <w:szCs w:val="17"/>
                <w:shd w:val="clear" w:color="auto" w:fill="DBE5F1"/>
              </w:rPr>
            </w:pPr>
          </w:p>
        </w:tc>
      </w:tr>
      <w:tr w:rsidR="005555C4" w:rsidRPr="00746499" w14:paraId="36A3F925" w14:textId="77777777" w:rsidTr="006C3F11">
        <w:trPr>
          <w:gridAfter w:val="1"/>
          <w:wAfter w:w="18" w:type="pct"/>
        </w:trPr>
        <w:tc>
          <w:tcPr>
            <w:tcW w:w="1292" w:type="pct"/>
            <w:shd w:val="clear" w:color="auto" w:fill="FFFFFF" w:themeFill="background1"/>
            <w:tcMar>
              <w:top w:w="72" w:type="dxa"/>
              <w:left w:w="144" w:type="dxa"/>
              <w:bottom w:w="72" w:type="dxa"/>
              <w:right w:w="144" w:type="dxa"/>
            </w:tcMar>
          </w:tcPr>
          <w:p w14:paraId="4030B924" w14:textId="77777777" w:rsidR="005555C4" w:rsidRPr="00746499" w:rsidRDefault="005555C4" w:rsidP="005555C4">
            <w:pPr>
              <w:rPr>
                <w:iCs/>
                <w:sz w:val="17"/>
                <w:szCs w:val="17"/>
                <w:lang w:val="en-GB"/>
              </w:rPr>
            </w:pPr>
            <w:r w:rsidRPr="00746499">
              <w:rPr>
                <w:b/>
                <w:sz w:val="17"/>
                <w:szCs w:val="17"/>
                <w:lang w:val="en-GB"/>
              </w:rPr>
              <w:t>Indicator</w:t>
            </w:r>
            <w:r w:rsidRPr="00746499">
              <w:rPr>
                <w:sz w:val="17"/>
                <w:szCs w:val="17"/>
                <w:lang w:val="en-GB"/>
              </w:rPr>
              <w:t>: Centralized collecting and processing centres for hazardous waste created as environment enabling public institutions to meet the international standards on hazardous waste disposal</w:t>
            </w:r>
          </w:p>
          <w:p w14:paraId="283B6D66" w14:textId="77777777" w:rsidR="005555C4" w:rsidRPr="00746499" w:rsidRDefault="005555C4" w:rsidP="005555C4">
            <w:pPr>
              <w:rPr>
                <w:b/>
                <w:sz w:val="17"/>
                <w:szCs w:val="17"/>
                <w:lang w:eastAsia="uz-Cyrl-UZ"/>
              </w:rPr>
            </w:pPr>
          </w:p>
          <w:p w14:paraId="0AE0BB4C" w14:textId="77777777" w:rsidR="005555C4" w:rsidRPr="00746499" w:rsidRDefault="005555C4" w:rsidP="005555C4">
            <w:pPr>
              <w:rPr>
                <w:b/>
                <w:sz w:val="17"/>
                <w:szCs w:val="17"/>
                <w:lang w:eastAsia="uz-Cyrl-UZ"/>
              </w:rPr>
            </w:pPr>
          </w:p>
          <w:p w14:paraId="6A7E12E5" w14:textId="205F72CE" w:rsidR="005555C4" w:rsidRPr="00746499" w:rsidRDefault="005555C4" w:rsidP="005555C4">
            <w:pPr>
              <w:rPr>
                <w:iCs/>
                <w:sz w:val="17"/>
                <w:szCs w:val="17"/>
                <w:lang w:val="en-GB"/>
              </w:rPr>
            </w:pPr>
            <w:r w:rsidRPr="00746499">
              <w:rPr>
                <w:b/>
                <w:sz w:val="17"/>
                <w:szCs w:val="17"/>
                <w:lang w:eastAsia="uz-Cyrl-UZ"/>
              </w:rPr>
              <w:t xml:space="preserve">Baseline </w:t>
            </w:r>
            <w:r w:rsidRPr="00746499">
              <w:rPr>
                <w:sz w:val="17"/>
                <w:szCs w:val="17"/>
                <w:lang w:eastAsia="uz-Cyrl-UZ"/>
              </w:rPr>
              <w:t xml:space="preserve">(2016): There is no centralized collecting and processing </w:t>
            </w:r>
            <w:r w:rsidR="00992B72" w:rsidRPr="00746499">
              <w:rPr>
                <w:sz w:val="17"/>
                <w:szCs w:val="17"/>
                <w:lang w:eastAsia="uz-Cyrl-UZ"/>
              </w:rPr>
              <w:t xml:space="preserve">centre </w:t>
            </w:r>
            <w:r w:rsidRPr="00746499">
              <w:rPr>
                <w:sz w:val="17"/>
                <w:szCs w:val="17"/>
                <w:lang w:eastAsia="uz-Cyrl-UZ"/>
              </w:rPr>
              <w:t>for hazardous waste</w:t>
            </w:r>
            <w:r w:rsidRPr="00746499">
              <w:rPr>
                <w:b/>
                <w:sz w:val="17"/>
                <w:szCs w:val="17"/>
                <w:lang w:eastAsia="uz-Cyrl-UZ"/>
              </w:rPr>
              <w:t xml:space="preserve"> </w:t>
            </w:r>
          </w:p>
          <w:p w14:paraId="01A7D58E" w14:textId="77777777" w:rsidR="005555C4" w:rsidRPr="00746499" w:rsidRDefault="005555C4" w:rsidP="005555C4">
            <w:pPr>
              <w:rPr>
                <w:b/>
                <w:sz w:val="17"/>
                <w:szCs w:val="17"/>
                <w:lang w:eastAsia="uz-Cyrl-UZ"/>
              </w:rPr>
            </w:pPr>
          </w:p>
          <w:p w14:paraId="1EB84D74" w14:textId="77777777" w:rsidR="005555C4" w:rsidRPr="00746499" w:rsidRDefault="005555C4" w:rsidP="005555C4">
            <w:pPr>
              <w:rPr>
                <w:b/>
                <w:sz w:val="17"/>
                <w:szCs w:val="17"/>
                <w:lang w:eastAsia="uz-Cyrl-UZ"/>
              </w:rPr>
            </w:pPr>
          </w:p>
          <w:p w14:paraId="1F801CB5" w14:textId="08C4145E" w:rsidR="005555C4" w:rsidRPr="00746499" w:rsidRDefault="005555C4" w:rsidP="005555C4">
            <w:pPr>
              <w:rPr>
                <w:b/>
                <w:sz w:val="17"/>
                <w:szCs w:val="17"/>
                <w:lang w:eastAsia="uz-Cyrl-UZ"/>
              </w:rPr>
            </w:pPr>
            <w:r w:rsidRPr="00746499">
              <w:rPr>
                <w:b/>
                <w:sz w:val="17"/>
                <w:szCs w:val="17"/>
                <w:lang w:eastAsia="uz-Cyrl-UZ"/>
              </w:rPr>
              <w:t xml:space="preserve">Target (2022):  </w:t>
            </w:r>
            <w:r w:rsidRPr="00746499">
              <w:rPr>
                <w:sz w:val="17"/>
                <w:szCs w:val="17"/>
                <w:lang w:val="en-GB"/>
              </w:rPr>
              <w:t xml:space="preserve">At least one hazardous waste centre created and </w:t>
            </w:r>
            <w:r w:rsidR="00992B72" w:rsidRPr="00746499">
              <w:rPr>
                <w:sz w:val="17"/>
                <w:szCs w:val="17"/>
                <w:lang w:val="en-GB"/>
              </w:rPr>
              <w:t>operationalized</w:t>
            </w:r>
          </w:p>
          <w:p w14:paraId="10DA0843" w14:textId="77777777" w:rsidR="005555C4" w:rsidRPr="00746499" w:rsidRDefault="005555C4" w:rsidP="005555C4">
            <w:pPr>
              <w:rPr>
                <w:b/>
                <w:sz w:val="17"/>
                <w:szCs w:val="17"/>
                <w:lang w:val="en-GB"/>
              </w:rPr>
            </w:pPr>
          </w:p>
          <w:p w14:paraId="177BAC86" w14:textId="77777777" w:rsidR="005555C4" w:rsidRPr="00746499" w:rsidRDefault="005555C4" w:rsidP="005555C4">
            <w:pPr>
              <w:rPr>
                <w:b/>
                <w:sz w:val="17"/>
                <w:szCs w:val="17"/>
                <w:lang w:val="en-GB"/>
              </w:rPr>
            </w:pPr>
          </w:p>
          <w:p w14:paraId="7E965905" w14:textId="77777777" w:rsidR="005555C4" w:rsidRPr="00746499" w:rsidRDefault="005555C4" w:rsidP="005555C4">
            <w:pPr>
              <w:rPr>
                <w:b/>
                <w:sz w:val="17"/>
                <w:szCs w:val="17"/>
                <w:lang w:val="en-GB"/>
              </w:rPr>
            </w:pPr>
          </w:p>
          <w:p w14:paraId="68E2102F" w14:textId="77777777" w:rsidR="005555C4" w:rsidRPr="00746499" w:rsidRDefault="005555C4" w:rsidP="005555C4">
            <w:pPr>
              <w:rPr>
                <w:b/>
                <w:sz w:val="17"/>
                <w:szCs w:val="17"/>
                <w:lang w:val="en-GB"/>
              </w:rPr>
            </w:pPr>
          </w:p>
          <w:p w14:paraId="4393CAF1" w14:textId="77777777" w:rsidR="005555C4" w:rsidRPr="00746499" w:rsidRDefault="005555C4" w:rsidP="005555C4">
            <w:pPr>
              <w:rPr>
                <w:b/>
                <w:sz w:val="17"/>
                <w:szCs w:val="17"/>
                <w:lang w:val="en-GB"/>
              </w:rPr>
            </w:pPr>
          </w:p>
          <w:p w14:paraId="17DD60A9" w14:textId="77777777" w:rsidR="005555C4" w:rsidRPr="00746499" w:rsidRDefault="005555C4" w:rsidP="005555C4">
            <w:pPr>
              <w:rPr>
                <w:b/>
                <w:sz w:val="17"/>
                <w:szCs w:val="17"/>
                <w:lang w:val="en-GB"/>
              </w:rPr>
            </w:pPr>
          </w:p>
          <w:p w14:paraId="22D1F675" w14:textId="77777777" w:rsidR="005555C4" w:rsidRPr="00746499" w:rsidRDefault="005555C4" w:rsidP="005555C4">
            <w:pPr>
              <w:rPr>
                <w:sz w:val="17"/>
                <w:szCs w:val="17"/>
                <w:lang w:eastAsia="uz-Cyrl-UZ"/>
              </w:rPr>
            </w:pPr>
            <w:r w:rsidRPr="00746499">
              <w:rPr>
                <w:b/>
                <w:sz w:val="17"/>
                <w:szCs w:val="17"/>
                <w:lang w:val="en-GB"/>
              </w:rPr>
              <w:lastRenderedPageBreak/>
              <w:t>Indicator</w:t>
            </w:r>
            <w:r w:rsidRPr="00746499">
              <w:rPr>
                <w:sz w:val="17"/>
                <w:szCs w:val="17"/>
                <w:lang w:val="en-GB"/>
              </w:rPr>
              <w:t xml:space="preserve">: </w:t>
            </w:r>
            <w:r w:rsidRPr="00746499">
              <w:rPr>
                <w:sz w:val="17"/>
                <w:szCs w:val="17"/>
                <w:lang w:eastAsia="uz-Cyrl-UZ"/>
              </w:rPr>
              <w:t>Number of people in rural areas benefiting from sustainable natural resource practices, by sex</w:t>
            </w:r>
          </w:p>
          <w:p w14:paraId="6C732034" w14:textId="77777777" w:rsidR="005555C4" w:rsidRPr="00746499" w:rsidRDefault="005555C4" w:rsidP="005555C4">
            <w:pPr>
              <w:rPr>
                <w:sz w:val="17"/>
                <w:szCs w:val="17"/>
                <w:lang w:eastAsia="uz-Cyrl-UZ"/>
              </w:rPr>
            </w:pPr>
            <w:r w:rsidRPr="00746499">
              <w:rPr>
                <w:b/>
                <w:sz w:val="17"/>
                <w:szCs w:val="17"/>
                <w:lang w:eastAsia="uz-Cyrl-UZ"/>
              </w:rPr>
              <w:t xml:space="preserve">Baseline </w:t>
            </w:r>
            <w:r w:rsidRPr="00746499">
              <w:rPr>
                <w:sz w:val="17"/>
                <w:szCs w:val="17"/>
                <w:lang w:eastAsia="uz-Cyrl-UZ"/>
              </w:rPr>
              <w:t>(2015)</w:t>
            </w:r>
            <w:r w:rsidRPr="00746499">
              <w:rPr>
                <w:b/>
                <w:sz w:val="17"/>
                <w:szCs w:val="17"/>
                <w:lang w:eastAsia="uz-Cyrl-UZ"/>
              </w:rPr>
              <w:t xml:space="preserve">: </w:t>
            </w:r>
            <w:r w:rsidRPr="00746499">
              <w:rPr>
                <w:sz w:val="17"/>
                <w:szCs w:val="17"/>
                <w:lang w:eastAsia="uz-Cyrl-UZ"/>
              </w:rPr>
              <w:t xml:space="preserve">Total – 23,559 </w:t>
            </w:r>
          </w:p>
          <w:p w14:paraId="17A76062" w14:textId="6095D3AB" w:rsidR="005555C4" w:rsidRPr="00746499" w:rsidRDefault="005555C4" w:rsidP="005555C4">
            <w:pPr>
              <w:rPr>
                <w:b/>
                <w:sz w:val="17"/>
                <w:szCs w:val="17"/>
                <w:lang w:eastAsia="uz-Cyrl-UZ"/>
              </w:rPr>
            </w:pPr>
            <w:r w:rsidRPr="00746499">
              <w:rPr>
                <w:sz w:val="17"/>
                <w:szCs w:val="17"/>
                <w:lang w:eastAsia="uz-Cyrl-UZ"/>
              </w:rPr>
              <w:t>Men – 11,350</w:t>
            </w:r>
            <w:r w:rsidR="009F2A7C" w:rsidRPr="00746499">
              <w:rPr>
                <w:sz w:val="17"/>
                <w:szCs w:val="17"/>
                <w:lang w:eastAsia="uz-Cyrl-UZ"/>
              </w:rPr>
              <w:t>; Women</w:t>
            </w:r>
            <w:r w:rsidRPr="00746499">
              <w:rPr>
                <w:sz w:val="17"/>
                <w:szCs w:val="17"/>
                <w:lang w:eastAsia="uz-Cyrl-UZ"/>
              </w:rPr>
              <w:t xml:space="preserve"> – 12,209:</w:t>
            </w:r>
          </w:p>
          <w:p w14:paraId="47EB345A" w14:textId="77777777" w:rsidR="005555C4" w:rsidRPr="00746499" w:rsidRDefault="005555C4" w:rsidP="005555C4">
            <w:pPr>
              <w:rPr>
                <w:sz w:val="17"/>
                <w:szCs w:val="17"/>
                <w:lang w:val="en-GB"/>
              </w:rPr>
            </w:pPr>
            <w:r w:rsidRPr="00746499">
              <w:rPr>
                <w:b/>
                <w:sz w:val="17"/>
                <w:szCs w:val="17"/>
                <w:lang w:eastAsia="uz-Cyrl-UZ"/>
              </w:rPr>
              <w:t xml:space="preserve">Target </w:t>
            </w:r>
            <w:r w:rsidRPr="00746499">
              <w:rPr>
                <w:sz w:val="17"/>
                <w:szCs w:val="17"/>
                <w:lang w:eastAsia="uz-Cyrl-UZ"/>
              </w:rPr>
              <w:t>(2022):  Total 30,000</w:t>
            </w:r>
          </w:p>
          <w:p w14:paraId="25444613" w14:textId="77777777" w:rsidR="005555C4" w:rsidRPr="00746499" w:rsidRDefault="005555C4" w:rsidP="005555C4">
            <w:pPr>
              <w:rPr>
                <w:b/>
                <w:bCs/>
                <w:color w:val="000000"/>
                <w:sz w:val="17"/>
                <w:szCs w:val="17"/>
                <w:shd w:val="clear" w:color="auto" w:fill="DBE5F1"/>
              </w:rPr>
            </w:pPr>
            <w:r w:rsidRPr="00746499">
              <w:rPr>
                <w:sz w:val="17"/>
                <w:szCs w:val="17"/>
                <w:lang w:val="en-GB"/>
              </w:rPr>
              <w:t>Men: 14,430; Women: 15,570</w:t>
            </w:r>
          </w:p>
        </w:tc>
        <w:tc>
          <w:tcPr>
            <w:tcW w:w="686" w:type="pct"/>
            <w:gridSpan w:val="2"/>
            <w:shd w:val="clear" w:color="auto" w:fill="FFFFFF" w:themeFill="background1"/>
          </w:tcPr>
          <w:p w14:paraId="47411786" w14:textId="77777777" w:rsidR="005555C4" w:rsidRPr="00746499" w:rsidRDefault="005555C4" w:rsidP="005555C4">
            <w:pPr>
              <w:rPr>
                <w:sz w:val="17"/>
                <w:szCs w:val="17"/>
                <w:lang w:eastAsia="uz-Cyrl-UZ"/>
              </w:rPr>
            </w:pPr>
            <w:r w:rsidRPr="00746499">
              <w:rPr>
                <w:sz w:val="17"/>
                <w:szCs w:val="17"/>
                <w:lang w:eastAsia="uz-Cyrl-UZ"/>
              </w:rPr>
              <w:lastRenderedPageBreak/>
              <w:t xml:space="preserve">Ministry of Environment </w:t>
            </w:r>
            <w:r w:rsidR="00433F0B" w:rsidRPr="00746499">
              <w:rPr>
                <w:sz w:val="17"/>
                <w:szCs w:val="17"/>
                <w:lang w:eastAsia="uz-Cyrl-UZ"/>
              </w:rPr>
              <w:t>Reports</w:t>
            </w:r>
          </w:p>
          <w:p w14:paraId="27305A9B" w14:textId="77777777" w:rsidR="005555C4" w:rsidRPr="00746499" w:rsidRDefault="005555C4" w:rsidP="005555C4">
            <w:pPr>
              <w:widowControl w:val="0"/>
              <w:rPr>
                <w:sz w:val="17"/>
                <w:szCs w:val="17"/>
                <w:lang w:val="en-GB"/>
              </w:rPr>
            </w:pPr>
          </w:p>
          <w:p w14:paraId="0510A782" w14:textId="77777777" w:rsidR="005555C4" w:rsidRPr="00746499" w:rsidRDefault="005555C4" w:rsidP="005555C4">
            <w:pPr>
              <w:widowControl w:val="0"/>
              <w:rPr>
                <w:sz w:val="17"/>
                <w:szCs w:val="17"/>
                <w:lang w:val="en-GB"/>
              </w:rPr>
            </w:pPr>
          </w:p>
          <w:p w14:paraId="6AF6C65E" w14:textId="77777777" w:rsidR="005555C4" w:rsidRPr="00746499" w:rsidRDefault="005555C4" w:rsidP="005555C4">
            <w:pPr>
              <w:widowControl w:val="0"/>
              <w:rPr>
                <w:sz w:val="17"/>
                <w:szCs w:val="17"/>
                <w:lang w:val="en-GB"/>
              </w:rPr>
            </w:pPr>
          </w:p>
          <w:p w14:paraId="1825016E" w14:textId="77777777" w:rsidR="005555C4" w:rsidRPr="00746499" w:rsidRDefault="005555C4" w:rsidP="005555C4">
            <w:pPr>
              <w:widowControl w:val="0"/>
              <w:rPr>
                <w:sz w:val="17"/>
                <w:szCs w:val="17"/>
                <w:lang w:val="en-GB"/>
              </w:rPr>
            </w:pPr>
          </w:p>
          <w:p w14:paraId="5EB4A769" w14:textId="77777777" w:rsidR="005555C4" w:rsidRPr="00746499" w:rsidRDefault="005555C4" w:rsidP="005555C4">
            <w:pPr>
              <w:widowControl w:val="0"/>
              <w:rPr>
                <w:sz w:val="17"/>
                <w:szCs w:val="17"/>
                <w:lang w:val="en-GB"/>
              </w:rPr>
            </w:pPr>
          </w:p>
          <w:p w14:paraId="538747CD" w14:textId="77777777" w:rsidR="005555C4" w:rsidRPr="00746499" w:rsidRDefault="005555C4" w:rsidP="005555C4">
            <w:pPr>
              <w:widowControl w:val="0"/>
              <w:rPr>
                <w:sz w:val="17"/>
                <w:szCs w:val="17"/>
                <w:lang w:val="en-GB"/>
              </w:rPr>
            </w:pPr>
          </w:p>
          <w:p w14:paraId="07DA6974" w14:textId="77777777" w:rsidR="005555C4" w:rsidRPr="00746499" w:rsidRDefault="005555C4" w:rsidP="005555C4">
            <w:pPr>
              <w:widowControl w:val="0"/>
              <w:rPr>
                <w:sz w:val="17"/>
                <w:szCs w:val="17"/>
                <w:lang w:val="en-GB"/>
              </w:rPr>
            </w:pPr>
          </w:p>
          <w:p w14:paraId="610C42C8" w14:textId="77777777" w:rsidR="005555C4" w:rsidRPr="00746499" w:rsidRDefault="005555C4" w:rsidP="005555C4">
            <w:pPr>
              <w:widowControl w:val="0"/>
              <w:rPr>
                <w:sz w:val="17"/>
                <w:szCs w:val="17"/>
                <w:lang w:val="en-GB"/>
              </w:rPr>
            </w:pPr>
          </w:p>
          <w:p w14:paraId="2E6AE2FA" w14:textId="77777777" w:rsidR="005555C4" w:rsidRPr="00746499" w:rsidRDefault="005555C4" w:rsidP="005555C4">
            <w:pPr>
              <w:widowControl w:val="0"/>
              <w:rPr>
                <w:sz w:val="17"/>
                <w:szCs w:val="17"/>
                <w:lang w:val="en-GB"/>
              </w:rPr>
            </w:pPr>
          </w:p>
          <w:p w14:paraId="55924F03" w14:textId="77777777" w:rsidR="005555C4" w:rsidRPr="00746499" w:rsidRDefault="005555C4" w:rsidP="005555C4">
            <w:pPr>
              <w:widowControl w:val="0"/>
              <w:rPr>
                <w:sz w:val="17"/>
                <w:szCs w:val="17"/>
                <w:lang w:val="en-GB"/>
              </w:rPr>
            </w:pPr>
          </w:p>
          <w:p w14:paraId="68EDF6C9" w14:textId="77777777" w:rsidR="005555C4" w:rsidRPr="00746499" w:rsidRDefault="005555C4" w:rsidP="005555C4">
            <w:pPr>
              <w:widowControl w:val="0"/>
              <w:rPr>
                <w:sz w:val="17"/>
                <w:szCs w:val="17"/>
                <w:lang w:val="en-GB"/>
              </w:rPr>
            </w:pPr>
          </w:p>
          <w:p w14:paraId="0C216EEA" w14:textId="77777777" w:rsidR="005555C4" w:rsidRPr="00746499" w:rsidRDefault="005555C4" w:rsidP="005555C4">
            <w:pPr>
              <w:widowControl w:val="0"/>
              <w:rPr>
                <w:sz w:val="17"/>
                <w:szCs w:val="17"/>
                <w:lang w:val="en-GB"/>
              </w:rPr>
            </w:pPr>
          </w:p>
          <w:p w14:paraId="79A8BE14" w14:textId="77777777" w:rsidR="005555C4" w:rsidRPr="00746499" w:rsidRDefault="005555C4" w:rsidP="005555C4">
            <w:pPr>
              <w:widowControl w:val="0"/>
              <w:rPr>
                <w:sz w:val="17"/>
                <w:szCs w:val="17"/>
                <w:lang w:val="en-GB"/>
              </w:rPr>
            </w:pPr>
          </w:p>
          <w:p w14:paraId="5990F283" w14:textId="77777777" w:rsidR="005555C4" w:rsidRPr="00746499" w:rsidRDefault="005555C4" w:rsidP="005555C4">
            <w:pPr>
              <w:widowControl w:val="0"/>
              <w:rPr>
                <w:sz w:val="17"/>
                <w:szCs w:val="17"/>
                <w:lang w:val="en-GB"/>
              </w:rPr>
            </w:pPr>
          </w:p>
          <w:p w14:paraId="28B45F23" w14:textId="77777777" w:rsidR="005555C4" w:rsidRPr="00746499" w:rsidRDefault="005555C4" w:rsidP="005555C4">
            <w:pPr>
              <w:widowControl w:val="0"/>
              <w:rPr>
                <w:sz w:val="17"/>
                <w:szCs w:val="17"/>
                <w:lang w:val="en-GB"/>
              </w:rPr>
            </w:pPr>
          </w:p>
          <w:p w14:paraId="2AB2897F" w14:textId="77777777" w:rsidR="005555C4" w:rsidRPr="00746499" w:rsidRDefault="005555C4" w:rsidP="005555C4">
            <w:pPr>
              <w:widowControl w:val="0"/>
              <w:rPr>
                <w:sz w:val="17"/>
                <w:szCs w:val="17"/>
                <w:lang w:val="en-GB"/>
              </w:rPr>
            </w:pPr>
          </w:p>
          <w:p w14:paraId="1E51A76D" w14:textId="77777777" w:rsidR="005555C4" w:rsidRPr="00746499" w:rsidRDefault="005555C4" w:rsidP="005555C4">
            <w:pPr>
              <w:widowControl w:val="0"/>
              <w:rPr>
                <w:sz w:val="17"/>
                <w:szCs w:val="17"/>
                <w:lang w:val="en-GB"/>
              </w:rPr>
            </w:pPr>
          </w:p>
          <w:p w14:paraId="3D90D5B7" w14:textId="77777777" w:rsidR="005555C4" w:rsidRPr="00746499" w:rsidRDefault="005555C4" w:rsidP="005555C4">
            <w:pPr>
              <w:widowControl w:val="0"/>
              <w:rPr>
                <w:sz w:val="17"/>
                <w:szCs w:val="17"/>
                <w:lang w:val="en-GB"/>
              </w:rPr>
            </w:pPr>
          </w:p>
          <w:p w14:paraId="7863B481" w14:textId="77777777" w:rsidR="005555C4" w:rsidRPr="00746499" w:rsidRDefault="005555C4" w:rsidP="005555C4">
            <w:pPr>
              <w:widowControl w:val="0"/>
              <w:rPr>
                <w:sz w:val="17"/>
                <w:szCs w:val="17"/>
                <w:lang w:val="en-GB"/>
              </w:rPr>
            </w:pPr>
          </w:p>
          <w:p w14:paraId="2410AFB4" w14:textId="77777777" w:rsidR="005555C4" w:rsidRPr="00746499" w:rsidRDefault="005555C4" w:rsidP="005555C4">
            <w:pPr>
              <w:widowControl w:val="0"/>
              <w:rPr>
                <w:sz w:val="17"/>
                <w:szCs w:val="17"/>
                <w:lang w:val="en-GB"/>
              </w:rPr>
            </w:pPr>
          </w:p>
          <w:p w14:paraId="2F31432A" w14:textId="77777777" w:rsidR="005555C4" w:rsidRPr="00746499" w:rsidRDefault="005555C4" w:rsidP="005555C4">
            <w:pPr>
              <w:widowControl w:val="0"/>
              <w:rPr>
                <w:sz w:val="17"/>
                <w:szCs w:val="17"/>
                <w:lang w:val="en-GB"/>
              </w:rPr>
            </w:pPr>
          </w:p>
          <w:p w14:paraId="0FEA73A2" w14:textId="77777777" w:rsidR="005555C4" w:rsidRPr="00746499" w:rsidRDefault="005555C4" w:rsidP="005555C4">
            <w:pPr>
              <w:rPr>
                <w:b/>
                <w:bCs/>
                <w:color w:val="000000"/>
                <w:sz w:val="17"/>
                <w:szCs w:val="17"/>
                <w:shd w:val="clear" w:color="auto" w:fill="DBE5F1"/>
              </w:rPr>
            </w:pPr>
            <w:r w:rsidRPr="00746499">
              <w:rPr>
                <w:sz w:val="17"/>
                <w:szCs w:val="17"/>
                <w:lang w:val="en-GB"/>
              </w:rPr>
              <w:t>Report on implementation of the National Environment Strategy, Community reports</w:t>
            </w:r>
          </w:p>
        </w:tc>
        <w:tc>
          <w:tcPr>
            <w:tcW w:w="1528" w:type="pct"/>
            <w:gridSpan w:val="2"/>
            <w:shd w:val="clear" w:color="auto" w:fill="FFFFFF" w:themeFill="background1"/>
            <w:tcMar>
              <w:top w:w="72" w:type="dxa"/>
              <w:left w:w="144" w:type="dxa"/>
              <w:bottom w:w="72" w:type="dxa"/>
              <w:right w:w="144" w:type="dxa"/>
            </w:tcMar>
          </w:tcPr>
          <w:p w14:paraId="3062CB5E" w14:textId="77777777" w:rsidR="005555C4" w:rsidRPr="00746499" w:rsidRDefault="005555C4" w:rsidP="005555C4">
            <w:pPr>
              <w:rPr>
                <w:b/>
                <w:iCs/>
                <w:sz w:val="17"/>
                <w:szCs w:val="17"/>
                <w:lang w:val="en-GB"/>
              </w:rPr>
            </w:pPr>
            <w:r w:rsidRPr="00746499">
              <w:rPr>
                <w:b/>
                <w:iCs/>
                <w:color w:val="000000"/>
                <w:sz w:val="17"/>
                <w:szCs w:val="17"/>
                <w:lang w:val="en-GB"/>
              </w:rPr>
              <w:lastRenderedPageBreak/>
              <w:t xml:space="preserve">OUTPUT 3.2:  Improved national capacities for environmentally sound management practices in ecosystems, waste and </w:t>
            </w:r>
            <w:r w:rsidRPr="00746499">
              <w:rPr>
                <w:b/>
                <w:iCs/>
                <w:sz w:val="17"/>
                <w:szCs w:val="17"/>
                <w:lang w:val="en-GB"/>
              </w:rPr>
              <w:t xml:space="preserve">chemicals </w:t>
            </w:r>
          </w:p>
          <w:p w14:paraId="5920B3DB" w14:textId="77777777" w:rsidR="005555C4" w:rsidRPr="00746499" w:rsidRDefault="005555C4" w:rsidP="005555C4">
            <w:pPr>
              <w:rPr>
                <w:b/>
                <w:iCs/>
                <w:sz w:val="17"/>
                <w:szCs w:val="17"/>
                <w:lang w:val="en-GB"/>
              </w:rPr>
            </w:pPr>
          </w:p>
          <w:p w14:paraId="7F7599B1" w14:textId="77777777" w:rsidR="00E07231" w:rsidRDefault="005555C4" w:rsidP="005555C4">
            <w:pPr>
              <w:rPr>
                <w:iCs/>
                <w:sz w:val="17"/>
                <w:szCs w:val="17"/>
                <w:lang w:val="en-GB"/>
              </w:rPr>
            </w:pPr>
            <w:r w:rsidRPr="00746499">
              <w:rPr>
                <w:b/>
                <w:iCs/>
                <w:sz w:val="17"/>
                <w:szCs w:val="17"/>
                <w:lang w:val="en-GB"/>
              </w:rPr>
              <w:t>Indicator 3.2.1</w:t>
            </w:r>
            <w:r w:rsidRPr="00746499">
              <w:rPr>
                <w:iCs/>
                <w:sz w:val="17"/>
                <w:szCs w:val="17"/>
                <w:lang w:val="en-GB"/>
              </w:rPr>
              <w:t>: Number of h</w:t>
            </w:r>
            <w:r w:rsidR="00F0194D" w:rsidRPr="00746499">
              <w:rPr>
                <w:iCs/>
                <w:sz w:val="17"/>
                <w:szCs w:val="17"/>
                <w:lang w:val="en-GB"/>
              </w:rPr>
              <w:t>ectares</w:t>
            </w:r>
            <w:r w:rsidRPr="00746499">
              <w:rPr>
                <w:iCs/>
                <w:sz w:val="17"/>
                <w:szCs w:val="17"/>
                <w:lang w:val="en-GB"/>
              </w:rPr>
              <w:t xml:space="preserve"> of lands sustainably managed through urban/spatial plans incorporating biodiversity issues </w:t>
            </w:r>
          </w:p>
          <w:p w14:paraId="56A0C92D" w14:textId="5D961C1A" w:rsidR="005555C4" w:rsidRPr="00746499" w:rsidRDefault="005555C4" w:rsidP="005555C4">
            <w:pPr>
              <w:rPr>
                <w:iCs/>
                <w:sz w:val="17"/>
                <w:szCs w:val="17"/>
                <w:lang w:val="en-GB"/>
              </w:rPr>
            </w:pPr>
            <w:r w:rsidRPr="00E07231">
              <w:rPr>
                <w:b/>
                <w:iCs/>
                <w:sz w:val="17"/>
                <w:szCs w:val="17"/>
                <w:lang w:val="en-GB"/>
              </w:rPr>
              <w:t>Baseline</w:t>
            </w:r>
            <w:r w:rsidR="00EE7E6B" w:rsidRPr="00746499">
              <w:rPr>
                <w:iCs/>
                <w:sz w:val="17"/>
                <w:szCs w:val="17"/>
                <w:lang w:val="en-GB"/>
              </w:rPr>
              <w:t xml:space="preserve"> (2015): 0 </w:t>
            </w:r>
          </w:p>
          <w:p w14:paraId="71529D69" w14:textId="402803D8" w:rsidR="005555C4" w:rsidRPr="00746499" w:rsidRDefault="005555C4" w:rsidP="005555C4">
            <w:pPr>
              <w:rPr>
                <w:iCs/>
                <w:sz w:val="17"/>
                <w:szCs w:val="17"/>
                <w:lang w:val="en-GB"/>
              </w:rPr>
            </w:pPr>
            <w:r w:rsidRPr="00E07231">
              <w:rPr>
                <w:b/>
                <w:iCs/>
                <w:sz w:val="17"/>
                <w:szCs w:val="17"/>
                <w:lang w:val="en-GB"/>
              </w:rPr>
              <w:t>Target</w:t>
            </w:r>
            <w:r w:rsidRPr="00746499">
              <w:rPr>
                <w:iCs/>
                <w:sz w:val="17"/>
                <w:szCs w:val="17"/>
                <w:lang w:val="en-GB"/>
              </w:rPr>
              <w:t xml:space="preserve">: 200,000 </w:t>
            </w:r>
          </w:p>
          <w:p w14:paraId="096DABBA" w14:textId="654E1138" w:rsidR="005555C4" w:rsidRPr="00746499" w:rsidRDefault="005555C4" w:rsidP="005555C4">
            <w:pPr>
              <w:rPr>
                <w:iCs/>
                <w:sz w:val="17"/>
                <w:szCs w:val="17"/>
                <w:lang w:val="en-GB"/>
              </w:rPr>
            </w:pPr>
            <w:r w:rsidRPr="00746499">
              <w:rPr>
                <w:b/>
                <w:iCs/>
                <w:sz w:val="17"/>
                <w:szCs w:val="17"/>
                <w:lang w:val="en-GB"/>
              </w:rPr>
              <w:t xml:space="preserve">Means of verification: </w:t>
            </w:r>
            <w:r w:rsidR="00992B72" w:rsidRPr="00746499">
              <w:rPr>
                <w:iCs/>
                <w:sz w:val="17"/>
                <w:szCs w:val="17"/>
                <w:lang w:val="en-GB"/>
              </w:rPr>
              <w:t>District-</w:t>
            </w:r>
            <w:r w:rsidRPr="00746499">
              <w:rPr>
                <w:iCs/>
                <w:sz w:val="17"/>
                <w:szCs w:val="17"/>
                <w:lang w:val="en-GB"/>
              </w:rPr>
              <w:t>level annual reports</w:t>
            </w:r>
          </w:p>
          <w:p w14:paraId="4F61A54F" w14:textId="77777777" w:rsidR="005555C4" w:rsidRPr="00746499" w:rsidRDefault="005555C4" w:rsidP="005555C4">
            <w:pPr>
              <w:rPr>
                <w:b/>
                <w:iCs/>
                <w:sz w:val="17"/>
                <w:szCs w:val="17"/>
                <w:lang w:val="en-GB"/>
              </w:rPr>
            </w:pPr>
          </w:p>
          <w:p w14:paraId="222DE2E3" w14:textId="77777777" w:rsidR="005555C4" w:rsidRPr="00746499" w:rsidRDefault="005555C4" w:rsidP="005555C4">
            <w:pPr>
              <w:rPr>
                <w:iCs/>
                <w:sz w:val="17"/>
                <w:szCs w:val="17"/>
                <w:lang w:val="en-GB"/>
              </w:rPr>
            </w:pPr>
            <w:r w:rsidRPr="00746499">
              <w:rPr>
                <w:b/>
                <w:iCs/>
                <w:sz w:val="17"/>
                <w:szCs w:val="17"/>
                <w:lang w:val="en-GB"/>
              </w:rPr>
              <w:t>Indicator 3.2.2</w:t>
            </w:r>
            <w:r w:rsidR="00BF3CA2" w:rsidRPr="00746499">
              <w:rPr>
                <w:b/>
                <w:iCs/>
                <w:sz w:val="17"/>
                <w:szCs w:val="17"/>
                <w:lang w:val="en-GB"/>
              </w:rPr>
              <w:t xml:space="preserve">: </w:t>
            </w:r>
            <w:r w:rsidRPr="00746499">
              <w:rPr>
                <w:iCs/>
                <w:sz w:val="17"/>
                <w:szCs w:val="17"/>
                <w:lang w:val="en-GB"/>
              </w:rPr>
              <w:t>Proportion of sustainably managed community pasture and forest land in Soroca and Stefan Voda districts /</w:t>
            </w:r>
            <w:r w:rsidR="00EE7E6B" w:rsidRPr="00746499">
              <w:rPr>
                <w:iCs/>
                <w:sz w:val="17"/>
                <w:szCs w:val="17"/>
                <w:lang w:val="en-GB"/>
              </w:rPr>
              <w:t xml:space="preserve">proportion </w:t>
            </w:r>
            <w:r w:rsidRPr="00746499">
              <w:rPr>
                <w:iCs/>
                <w:sz w:val="17"/>
                <w:szCs w:val="17"/>
                <w:lang w:val="en-GB"/>
              </w:rPr>
              <w:t xml:space="preserve">of women with increased income from restored community pasture and forests </w:t>
            </w:r>
          </w:p>
          <w:p w14:paraId="3E6D59A3" w14:textId="77777777" w:rsidR="005555C4" w:rsidRPr="00746499" w:rsidRDefault="005555C4" w:rsidP="005555C4">
            <w:pPr>
              <w:rPr>
                <w:iCs/>
                <w:sz w:val="17"/>
                <w:szCs w:val="17"/>
                <w:lang w:val="en-GB"/>
              </w:rPr>
            </w:pPr>
            <w:r w:rsidRPr="00746499">
              <w:rPr>
                <w:b/>
                <w:sz w:val="17"/>
                <w:szCs w:val="17"/>
                <w:lang w:eastAsia="uz-Cyrl-UZ"/>
              </w:rPr>
              <w:t xml:space="preserve">Baseline </w:t>
            </w:r>
            <w:r w:rsidRPr="00746499">
              <w:rPr>
                <w:sz w:val="17"/>
                <w:szCs w:val="17"/>
                <w:lang w:eastAsia="uz-Cyrl-UZ"/>
              </w:rPr>
              <w:t xml:space="preserve">(2016): </w:t>
            </w:r>
            <w:r w:rsidRPr="00746499">
              <w:rPr>
                <w:iCs/>
                <w:sz w:val="17"/>
                <w:szCs w:val="17"/>
                <w:lang w:val="en-GB"/>
              </w:rPr>
              <w:t>Pasture 0%;0</w:t>
            </w:r>
            <w:r w:rsidR="00EE7E6B" w:rsidRPr="00746499">
              <w:rPr>
                <w:iCs/>
                <w:sz w:val="17"/>
                <w:szCs w:val="17"/>
                <w:lang w:val="en-GB"/>
              </w:rPr>
              <w:t>% women</w:t>
            </w:r>
            <w:r w:rsidRPr="00746499">
              <w:rPr>
                <w:iCs/>
                <w:sz w:val="17"/>
                <w:szCs w:val="17"/>
                <w:lang w:val="en-GB"/>
              </w:rPr>
              <w:t>; Forest 0% /0 women and men</w:t>
            </w:r>
          </w:p>
          <w:p w14:paraId="041495EA" w14:textId="55DC4DDD" w:rsidR="005555C4" w:rsidRPr="00746499" w:rsidRDefault="005555C4" w:rsidP="005555C4">
            <w:pPr>
              <w:rPr>
                <w:b/>
                <w:iCs/>
                <w:sz w:val="17"/>
                <w:szCs w:val="17"/>
                <w:lang w:val="en-GB"/>
              </w:rPr>
            </w:pPr>
            <w:r w:rsidRPr="00746499">
              <w:rPr>
                <w:b/>
                <w:iCs/>
                <w:color w:val="000000"/>
                <w:sz w:val="17"/>
                <w:szCs w:val="17"/>
                <w:lang w:val="en-GB"/>
              </w:rPr>
              <w:t>Target:</w:t>
            </w:r>
            <w:r w:rsidRPr="00746499">
              <w:rPr>
                <w:iCs/>
                <w:color w:val="000000"/>
                <w:sz w:val="17"/>
                <w:szCs w:val="17"/>
                <w:lang w:val="en-GB"/>
              </w:rPr>
              <w:t xml:space="preserve"> Pasture: 13% (2</w:t>
            </w:r>
            <w:r w:rsidR="00F40B2C" w:rsidRPr="00746499">
              <w:rPr>
                <w:iCs/>
                <w:color w:val="000000"/>
                <w:sz w:val="17"/>
                <w:szCs w:val="17"/>
                <w:lang w:val="en-GB"/>
              </w:rPr>
              <w:t>,</w:t>
            </w:r>
            <w:r w:rsidRPr="00746499">
              <w:rPr>
                <w:iCs/>
                <w:color w:val="000000"/>
                <w:sz w:val="17"/>
                <w:szCs w:val="17"/>
                <w:lang w:val="en-GB"/>
              </w:rPr>
              <w:t>483</w:t>
            </w:r>
            <w:r w:rsidR="00F40B2C" w:rsidRPr="00746499">
              <w:rPr>
                <w:iCs/>
                <w:color w:val="000000"/>
                <w:sz w:val="17"/>
                <w:szCs w:val="17"/>
                <w:lang w:val="en-GB"/>
              </w:rPr>
              <w:t xml:space="preserve"> hectares</w:t>
            </w:r>
            <w:r w:rsidRPr="00746499">
              <w:rPr>
                <w:iCs/>
                <w:color w:val="000000"/>
                <w:sz w:val="17"/>
                <w:szCs w:val="17"/>
                <w:lang w:val="en-GB"/>
              </w:rPr>
              <w:t>) /</w:t>
            </w:r>
            <w:r w:rsidR="00EE7E6B" w:rsidRPr="00746499">
              <w:rPr>
                <w:iCs/>
                <w:color w:val="000000"/>
                <w:sz w:val="17"/>
                <w:szCs w:val="17"/>
                <w:lang w:val="en-GB"/>
              </w:rPr>
              <w:t>54%,</w:t>
            </w:r>
            <w:r w:rsidRPr="00746499">
              <w:rPr>
                <w:iCs/>
                <w:color w:val="000000"/>
                <w:sz w:val="17"/>
                <w:szCs w:val="17"/>
                <w:lang w:val="en-GB"/>
              </w:rPr>
              <w:t xml:space="preserve"> Forest: 11%</w:t>
            </w:r>
            <w:r w:rsidR="00992B72" w:rsidRPr="00746499">
              <w:rPr>
                <w:iCs/>
                <w:color w:val="000000"/>
                <w:sz w:val="17"/>
                <w:szCs w:val="17"/>
                <w:lang w:val="en-GB"/>
              </w:rPr>
              <w:t xml:space="preserve"> </w:t>
            </w:r>
            <w:r w:rsidRPr="00746499">
              <w:rPr>
                <w:iCs/>
                <w:color w:val="000000"/>
                <w:sz w:val="17"/>
                <w:szCs w:val="17"/>
                <w:lang w:val="en-GB"/>
              </w:rPr>
              <w:t xml:space="preserve">(=768 </w:t>
            </w:r>
            <w:r w:rsidR="00F40B2C" w:rsidRPr="00746499">
              <w:rPr>
                <w:iCs/>
                <w:color w:val="000000"/>
                <w:sz w:val="17"/>
                <w:szCs w:val="17"/>
                <w:lang w:val="en-GB"/>
              </w:rPr>
              <w:t>hectares</w:t>
            </w:r>
            <w:r w:rsidRPr="00746499">
              <w:rPr>
                <w:iCs/>
                <w:color w:val="000000"/>
                <w:sz w:val="17"/>
                <w:szCs w:val="17"/>
                <w:lang w:val="en-GB"/>
              </w:rPr>
              <w:t>)/258 women, 219 men</w:t>
            </w:r>
          </w:p>
          <w:p w14:paraId="24C7E15D" w14:textId="7EF77E96" w:rsidR="005555C4" w:rsidRPr="00746499" w:rsidRDefault="005555C4" w:rsidP="005555C4">
            <w:pPr>
              <w:rPr>
                <w:iCs/>
                <w:sz w:val="17"/>
                <w:szCs w:val="17"/>
                <w:lang w:val="en-GB"/>
              </w:rPr>
            </w:pPr>
            <w:r w:rsidRPr="00746499">
              <w:rPr>
                <w:b/>
                <w:iCs/>
                <w:sz w:val="17"/>
                <w:szCs w:val="17"/>
                <w:lang w:val="en-GB"/>
              </w:rPr>
              <w:lastRenderedPageBreak/>
              <w:t xml:space="preserve">Means of verification: </w:t>
            </w:r>
            <w:r w:rsidR="00992B72" w:rsidRPr="00746499">
              <w:rPr>
                <w:iCs/>
                <w:sz w:val="17"/>
                <w:szCs w:val="17"/>
                <w:lang w:val="en-GB"/>
              </w:rPr>
              <w:t>District-</w:t>
            </w:r>
            <w:r w:rsidRPr="00746499">
              <w:rPr>
                <w:iCs/>
                <w:sz w:val="17"/>
                <w:szCs w:val="17"/>
                <w:lang w:val="en-GB"/>
              </w:rPr>
              <w:t>level reports</w:t>
            </w:r>
          </w:p>
          <w:p w14:paraId="231D7ED5" w14:textId="77777777" w:rsidR="005555C4" w:rsidRPr="00746499" w:rsidRDefault="005555C4" w:rsidP="005555C4">
            <w:pPr>
              <w:rPr>
                <w:b/>
                <w:iCs/>
                <w:color w:val="000000"/>
                <w:sz w:val="17"/>
                <w:szCs w:val="17"/>
              </w:rPr>
            </w:pPr>
          </w:p>
          <w:p w14:paraId="3D97873F" w14:textId="77777777" w:rsidR="005555C4" w:rsidRPr="00746499" w:rsidRDefault="005555C4" w:rsidP="005555C4">
            <w:pPr>
              <w:rPr>
                <w:b/>
                <w:iCs/>
                <w:color w:val="000000"/>
                <w:sz w:val="17"/>
                <w:szCs w:val="17"/>
                <w:lang w:val="en-GB"/>
              </w:rPr>
            </w:pPr>
            <w:r w:rsidRPr="00746499">
              <w:rPr>
                <w:b/>
                <w:iCs/>
                <w:color w:val="000000"/>
                <w:sz w:val="17"/>
                <w:szCs w:val="17"/>
                <w:lang w:val="en-GB"/>
              </w:rPr>
              <w:t xml:space="preserve">Indicator 3.2.3: </w:t>
            </w:r>
            <w:r w:rsidRPr="00746499">
              <w:rPr>
                <w:sz w:val="17"/>
                <w:szCs w:val="17"/>
                <w:lang w:val="en-GB"/>
              </w:rPr>
              <w:t>Centralized collecting and processing centres for hazardous waste created in line with international standards on hazardous waste disposal</w:t>
            </w:r>
          </w:p>
          <w:p w14:paraId="35CD47A3" w14:textId="77C03A3F" w:rsidR="005555C4" w:rsidRPr="00746499" w:rsidRDefault="005555C4" w:rsidP="005555C4">
            <w:pPr>
              <w:rPr>
                <w:b/>
                <w:iCs/>
                <w:color w:val="000000"/>
                <w:sz w:val="17"/>
                <w:szCs w:val="17"/>
                <w:lang w:val="en-GB"/>
              </w:rPr>
            </w:pPr>
            <w:r w:rsidRPr="00746499">
              <w:rPr>
                <w:b/>
                <w:sz w:val="17"/>
                <w:szCs w:val="17"/>
                <w:lang w:eastAsia="uz-Cyrl-UZ"/>
              </w:rPr>
              <w:t xml:space="preserve">Baseline </w:t>
            </w:r>
            <w:r w:rsidRPr="00746499">
              <w:rPr>
                <w:sz w:val="17"/>
                <w:szCs w:val="17"/>
                <w:lang w:eastAsia="uz-Cyrl-UZ"/>
              </w:rPr>
              <w:t xml:space="preserve">(2016): No modern waste center in place; </w:t>
            </w:r>
            <w:r w:rsidRPr="00746499">
              <w:rPr>
                <w:b/>
                <w:sz w:val="17"/>
                <w:szCs w:val="17"/>
                <w:lang w:eastAsia="uz-Cyrl-UZ"/>
              </w:rPr>
              <w:t xml:space="preserve">Target (2022):  </w:t>
            </w:r>
            <w:r w:rsidRPr="00746499">
              <w:rPr>
                <w:sz w:val="17"/>
                <w:szCs w:val="17"/>
                <w:lang w:val="en-GB"/>
              </w:rPr>
              <w:t xml:space="preserve">At least one hazardous waste centre created and </w:t>
            </w:r>
            <w:r w:rsidR="00992B72" w:rsidRPr="00746499">
              <w:rPr>
                <w:sz w:val="17"/>
                <w:szCs w:val="17"/>
                <w:lang w:val="en-GB"/>
              </w:rPr>
              <w:t>operationalized</w:t>
            </w:r>
          </w:p>
          <w:p w14:paraId="45C3E8DC" w14:textId="47A7D421" w:rsidR="005555C4" w:rsidRPr="006D5EA9" w:rsidRDefault="005555C4" w:rsidP="007976ED">
            <w:pPr>
              <w:rPr>
                <w:iCs/>
                <w:color w:val="000000"/>
                <w:sz w:val="17"/>
                <w:szCs w:val="17"/>
                <w:lang w:val="en-GB"/>
              </w:rPr>
            </w:pPr>
            <w:r w:rsidRPr="00746499">
              <w:rPr>
                <w:b/>
                <w:iCs/>
                <w:sz w:val="17"/>
                <w:szCs w:val="17"/>
                <w:lang w:val="en-GB"/>
              </w:rPr>
              <w:t xml:space="preserve">Means of verification: </w:t>
            </w:r>
            <w:r w:rsidRPr="00746499">
              <w:rPr>
                <w:iCs/>
                <w:color w:val="000000"/>
                <w:sz w:val="17"/>
                <w:szCs w:val="17"/>
                <w:lang w:val="en-GB"/>
              </w:rPr>
              <w:t>Ministry of Environment</w:t>
            </w:r>
            <w:r w:rsidR="007976ED" w:rsidRPr="00746499">
              <w:rPr>
                <w:iCs/>
                <w:color w:val="000000"/>
                <w:sz w:val="17"/>
                <w:szCs w:val="17"/>
                <w:lang w:val="en-GB"/>
              </w:rPr>
              <w:t xml:space="preserve"> reports</w:t>
            </w:r>
          </w:p>
        </w:tc>
        <w:tc>
          <w:tcPr>
            <w:tcW w:w="770" w:type="pct"/>
            <w:gridSpan w:val="2"/>
            <w:shd w:val="clear" w:color="auto" w:fill="FFFFFF" w:themeFill="background1"/>
          </w:tcPr>
          <w:p w14:paraId="7B41213D" w14:textId="6A8FC660" w:rsidR="002F57A2" w:rsidRPr="00746499" w:rsidRDefault="002F57A2" w:rsidP="005555C4">
            <w:pPr>
              <w:rPr>
                <w:iCs/>
                <w:color w:val="000000"/>
                <w:sz w:val="17"/>
                <w:szCs w:val="17"/>
                <w:lang w:val="en-GB"/>
              </w:rPr>
            </w:pPr>
            <w:r w:rsidRPr="00746499">
              <w:rPr>
                <w:sz w:val="17"/>
                <w:szCs w:val="17"/>
              </w:rPr>
              <w:lastRenderedPageBreak/>
              <w:t>Ministry of Environment</w:t>
            </w:r>
            <w:r w:rsidR="005555C4" w:rsidRPr="00746499">
              <w:rPr>
                <w:iCs/>
                <w:color w:val="000000"/>
                <w:sz w:val="17"/>
                <w:szCs w:val="17"/>
                <w:lang w:val="en-GB"/>
              </w:rPr>
              <w:t xml:space="preserve"> </w:t>
            </w:r>
          </w:p>
          <w:p w14:paraId="3728B115" w14:textId="28BA41B8" w:rsidR="002F57A2" w:rsidRPr="00746499" w:rsidRDefault="005555C4" w:rsidP="005555C4">
            <w:pPr>
              <w:rPr>
                <w:iCs/>
                <w:color w:val="000000"/>
                <w:sz w:val="17"/>
                <w:szCs w:val="17"/>
                <w:lang w:val="en-GB"/>
              </w:rPr>
            </w:pPr>
            <w:r w:rsidRPr="00746499">
              <w:rPr>
                <w:iCs/>
                <w:color w:val="000000"/>
                <w:sz w:val="17"/>
                <w:szCs w:val="17"/>
                <w:lang w:val="en-GB"/>
              </w:rPr>
              <w:t xml:space="preserve">Ministry of Health </w:t>
            </w:r>
          </w:p>
          <w:p w14:paraId="2A54C534" w14:textId="77777777" w:rsidR="002F57A2" w:rsidRPr="00746499" w:rsidRDefault="002F57A2" w:rsidP="005555C4">
            <w:pPr>
              <w:rPr>
                <w:iCs/>
                <w:color w:val="000000"/>
                <w:sz w:val="17"/>
                <w:szCs w:val="17"/>
                <w:lang w:val="en-GB"/>
              </w:rPr>
            </w:pPr>
            <w:r w:rsidRPr="00746499">
              <w:rPr>
                <w:sz w:val="17"/>
                <w:szCs w:val="17"/>
              </w:rPr>
              <w:t>Ministry of Regional Development and Construction</w:t>
            </w:r>
            <w:r w:rsidR="005555C4" w:rsidRPr="00746499">
              <w:rPr>
                <w:iCs/>
                <w:color w:val="000000"/>
                <w:sz w:val="17"/>
                <w:szCs w:val="17"/>
                <w:lang w:val="en-GB"/>
              </w:rPr>
              <w:t xml:space="preserve">, </w:t>
            </w:r>
          </w:p>
          <w:p w14:paraId="4D342D4C" w14:textId="2B527143" w:rsidR="002F57A2" w:rsidRPr="00746499" w:rsidRDefault="005555C4" w:rsidP="005555C4">
            <w:pPr>
              <w:rPr>
                <w:iCs/>
                <w:color w:val="000000"/>
                <w:sz w:val="17"/>
                <w:szCs w:val="17"/>
                <w:lang w:val="en-GB"/>
              </w:rPr>
            </w:pPr>
            <w:r w:rsidRPr="00746499">
              <w:rPr>
                <w:iCs/>
                <w:color w:val="000000"/>
                <w:sz w:val="17"/>
                <w:szCs w:val="17"/>
                <w:lang w:val="en-GB"/>
              </w:rPr>
              <w:t>Ministry of Agriculture and Food Industry</w:t>
            </w:r>
            <w:r w:rsidR="00625423" w:rsidRPr="00746499">
              <w:rPr>
                <w:iCs/>
                <w:color w:val="000000"/>
                <w:sz w:val="17"/>
                <w:szCs w:val="17"/>
                <w:lang w:val="en-GB"/>
              </w:rPr>
              <w:t xml:space="preserve"> </w:t>
            </w:r>
          </w:p>
          <w:p w14:paraId="432D3FCF" w14:textId="1F9CCFC4" w:rsidR="002F57A2" w:rsidRPr="00746499" w:rsidRDefault="00F0194D" w:rsidP="005555C4">
            <w:pPr>
              <w:rPr>
                <w:iCs/>
                <w:color w:val="000000"/>
                <w:sz w:val="17"/>
                <w:szCs w:val="17"/>
                <w:lang w:val="en-GB"/>
              </w:rPr>
            </w:pPr>
            <w:r w:rsidRPr="00746499">
              <w:rPr>
                <w:iCs/>
                <w:color w:val="000000"/>
                <w:sz w:val="17"/>
                <w:szCs w:val="17"/>
                <w:lang w:val="en-GB"/>
              </w:rPr>
              <w:t>Forestry Agency</w:t>
            </w:r>
          </w:p>
          <w:p w14:paraId="07C91DD0" w14:textId="39F5CE54" w:rsidR="005555C4" w:rsidRPr="00746499" w:rsidRDefault="00992B72" w:rsidP="005555C4">
            <w:pPr>
              <w:rPr>
                <w:iCs/>
                <w:color w:val="000000"/>
                <w:sz w:val="17"/>
                <w:szCs w:val="17"/>
                <w:lang w:val="en-GB"/>
              </w:rPr>
            </w:pPr>
            <w:r w:rsidRPr="00746499">
              <w:rPr>
                <w:iCs/>
                <w:color w:val="000000"/>
                <w:sz w:val="17"/>
                <w:szCs w:val="17"/>
                <w:lang w:val="en-GB"/>
              </w:rPr>
              <w:t>farmers' associations</w:t>
            </w:r>
            <w:r w:rsidR="005555C4" w:rsidRPr="00746499">
              <w:rPr>
                <w:iCs/>
                <w:color w:val="000000"/>
                <w:sz w:val="17"/>
                <w:szCs w:val="17"/>
                <w:lang w:val="en-GB"/>
              </w:rPr>
              <w:t xml:space="preserve">, </w:t>
            </w:r>
            <w:r w:rsidRPr="00746499">
              <w:rPr>
                <w:iCs/>
                <w:color w:val="000000"/>
                <w:sz w:val="17"/>
                <w:szCs w:val="17"/>
                <w:lang w:val="en-GB"/>
              </w:rPr>
              <w:t>local authorities</w:t>
            </w:r>
            <w:r w:rsidR="005555C4" w:rsidRPr="00746499">
              <w:rPr>
                <w:iCs/>
                <w:color w:val="000000"/>
                <w:sz w:val="17"/>
                <w:szCs w:val="17"/>
                <w:lang w:val="en-GB"/>
              </w:rPr>
              <w:t xml:space="preserve">, </w:t>
            </w:r>
            <w:r w:rsidRPr="00746499">
              <w:rPr>
                <w:iCs/>
                <w:color w:val="000000"/>
                <w:sz w:val="17"/>
                <w:szCs w:val="17"/>
                <w:lang w:val="en-GB"/>
              </w:rPr>
              <w:t>medical institutions</w:t>
            </w:r>
            <w:r w:rsidR="005555C4" w:rsidRPr="00746499">
              <w:rPr>
                <w:iCs/>
                <w:color w:val="000000"/>
                <w:sz w:val="17"/>
                <w:szCs w:val="17"/>
                <w:lang w:val="en-GB"/>
              </w:rPr>
              <w:t xml:space="preserve">, </w:t>
            </w:r>
            <w:r w:rsidRPr="00746499">
              <w:rPr>
                <w:iCs/>
                <w:color w:val="000000"/>
                <w:sz w:val="17"/>
                <w:szCs w:val="17"/>
                <w:lang w:val="en-GB"/>
              </w:rPr>
              <w:t>private sector</w:t>
            </w:r>
            <w:r w:rsidR="005555C4" w:rsidRPr="00746499">
              <w:rPr>
                <w:iCs/>
                <w:color w:val="000000"/>
                <w:sz w:val="17"/>
                <w:szCs w:val="17"/>
                <w:lang w:val="en-GB"/>
              </w:rPr>
              <w:t xml:space="preserve">, </w:t>
            </w:r>
            <w:r w:rsidRPr="00746499">
              <w:rPr>
                <w:iCs/>
                <w:color w:val="000000"/>
                <w:sz w:val="17"/>
                <w:szCs w:val="17"/>
                <w:lang w:val="en-GB"/>
              </w:rPr>
              <w:t>academia</w:t>
            </w:r>
          </w:p>
          <w:p w14:paraId="101484A2" w14:textId="77777777" w:rsidR="005555C4" w:rsidRPr="00746499" w:rsidRDefault="005555C4" w:rsidP="00920D80">
            <w:pPr>
              <w:rPr>
                <w:bCs/>
                <w:color w:val="000000"/>
                <w:sz w:val="17"/>
                <w:szCs w:val="17"/>
                <w:shd w:val="clear" w:color="auto" w:fill="DBE5F1"/>
              </w:rPr>
            </w:pPr>
          </w:p>
        </w:tc>
        <w:tc>
          <w:tcPr>
            <w:tcW w:w="706" w:type="pct"/>
            <w:gridSpan w:val="2"/>
            <w:shd w:val="clear" w:color="auto" w:fill="FFFFFF" w:themeFill="background1"/>
            <w:tcMar>
              <w:top w:w="15" w:type="dxa"/>
              <w:left w:w="108" w:type="dxa"/>
              <w:bottom w:w="0" w:type="dxa"/>
              <w:right w:w="108" w:type="dxa"/>
            </w:tcMar>
          </w:tcPr>
          <w:p w14:paraId="7E30F13F" w14:textId="77777777" w:rsidR="005555C4" w:rsidRPr="00746499" w:rsidRDefault="005555C4" w:rsidP="005555C4">
            <w:pPr>
              <w:rPr>
                <w:b/>
                <w:color w:val="000000"/>
                <w:sz w:val="17"/>
                <w:szCs w:val="17"/>
              </w:rPr>
            </w:pPr>
          </w:p>
        </w:tc>
      </w:tr>
      <w:tr w:rsidR="005555C4" w:rsidRPr="00746499" w14:paraId="31DE4203" w14:textId="77777777" w:rsidTr="006C3F11">
        <w:trPr>
          <w:gridAfter w:val="1"/>
          <w:wAfter w:w="18" w:type="pct"/>
        </w:trPr>
        <w:tc>
          <w:tcPr>
            <w:tcW w:w="1292" w:type="pct"/>
            <w:shd w:val="clear" w:color="auto" w:fill="FFFFFF" w:themeFill="background1"/>
            <w:tcMar>
              <w:top w:w="72" w:type="dxa"/>
              <w:left w:w="144" w:type="dxa"/>
              <w:bottom w:w="72" w:type="dxa"/>
              <w:right w:w="144" w:type="dxa"/>
            </w:tcMar>
          </w:tcPr>
          <w:p w14:paraId="4B99D2A3" w14:textId="6C25E183" w:rsidR="005555C4" w:rsidRPr="00746499" w:rsidRDefault="005555C4" w:rsidP="005555C4">
            <w:pPr>
              <w:widowControl w:val="0"/>
              <w:rPr>
                <w:sz w:val="17"/>
                <w:szCs w:val="17"/>
                <w:lang w:eastAsia="uz-Cyrl-UZ"/>
              </w:rPr>
            </w:pPr>
            <w:r w:rsidRPr="00746499">
              <w:rPr>
                <w:b/>
                <w:sz w:val="17"/>
                <w:szCs w:val="17"/>
                <w:lang w:val="en-GB"/>
              </w:rPr>
              <w:t>Indicator</w:t>
            </w:r>
            <w:r w:rsidRPr="00746499">
              <w:rPr>
                <w:sz w:val="17"/>
                <w:szCs w:val="17"/>
                <w:lang w:val="en-GB"/>
              </w:rPr>
              <w:t xml:space="preserve">: </w:t>
            </w:r>
            <w:r w:rsidR="007976ED" w:rsidRPr="00746499">
              <w:rPr>
                <w:sz w:val="17"/>
                <w:szCs w:val="17"/>
                <w:lang w:val="en-GB"/>
              </w:rPr>
              <w:t>Proportion of</w:t>
            </w:r>
            <w:r w:rsidRPr="00746499">
              <w:rPr>
                <w:sz w:val="17"/>
                <w:szCs w:val="17"/>
                <w:lang w:val="en-GB"/>
              </w:rPr>
              <w:t xml:space="preserve"> districts applying climate resilient practices</w:t>
            </w:r>
          </w:p>
          <w:p w14:paraId="67329B04" w14:textId="5F39904E" w:rsidR="005555C4" w:rsidRPr="00746499" w:rsidRDefault="009F2A7C" w:rsidP="005555C4">
            <w:pPr>
              <w:widowControl w:val="0"/>
              <w:rPr>
                <w:sz w:val="17"/>
                <w:szCs w:val="17"/>
              </w:rPr>
            </w:pPr>
            <w:r w:rsidRPr="00746499">
              <w:rPr>
                <w:b/>
                <w:sz w:val="17"/>
                <w:szCs w:val="17"/>
              </w:rPr>
              <w:t>Baseline</w:t>
            </w:r>
            <w:r w:rsidRPr="00746499">
              <w:rPr>
                <w:sz w:val="17"/>
                <w:szCs w:val="17"/>
                <w:lang w:val="en-GB"/>
              </w:rPr>
              <w:t xml:space="preserve"> (</w:t>
            </w:r>
            <w:r w:rsidR="005555C4" w:rsidRPr="00746499">
              <w:rPr>
                <w:sz w:val="17"/>
                <w:szCs w:val="17"/>
                <w:lang w:val="en-GB"/>
              </w:rPr>
              <w:t>2016): 18% (out of 33 districts)</w:t>
            </w:r>
          </w:p>
          <w:p w14:paraId="1B71E68F" w14:textId="77777777" w:rsidR="005555C4" w:rsidRPr="00746499" w:rsidRDefault="005555C4" w:rsidP="005555C4">
            <w:pPr>
              <w:widowControl w:val="0"/>
              <w:rPr>
                <w:sz w:val="17"/>
                <w:szCs w:val="17"/>
              </w:rPr>
            </w:pPr>
            <w:r w:rsidRPr="00746499">
              <w:rPr>
                <w:b/>
                <w:sz w:val="17"/>
                <w:szCs w:val="17"/>
              </w:rPr>
              <w:t xml:space="preserve">Target </w:t>
            </w:r>
            <w:r w:rsidRPr="00746499">
              <w:rPr>
                <w:sz w:val="17"/>
                <w:szCs w:val="17"/>
                <w:lang w:val="en-GB"/>
              </w:rPr>
              <w:t>(2022)</w:t>
            </w:r>
            <w:r w:rsidRPr="00746499">
              <w:rPr>
                <w:b/>
                <w:sz w:val="17"/>
                <w:szCs w:val="17"/>
              </w:rPr>
              <w:t xml:space="preserve">:  </w:t>
            </w:r>
            <w:r w:rsidRPr="00746499">
              <w:rPr>
                <w:sz w:val="17"/>
                <w:szCs w:val="17"/>
              </w:rPr>
              <w:t>27%</w:t>
            </w:r>
            <w:r w:rsidRPr="00746499">
              <w:rPr>
                <w:b/>
                <w:sz w:val="17"/>
                <w:szCs w:val="17"/>
              </w:rPr>
              <w:t xml:space="preserve"> </w:t>
            </w:r>
            <w:r w:rsidRPr="00746499">
              <w:rPr>
                <w:sz w:val="17"/>
                <w:szCs w:val="17"/>
              </w:rPr>
              <w:t xml:space="preserve">(2022) </w:t>
            </w:r>
          </w:p>
          <w:p w14:paraId="7BA6CA52" w14:textId="77777777" w:rsidR="005555C4" w:rsidRPr="00746499" w:rsidRDefault="005555C4" w:rsidP="005555C4">
            <w:pPr>
              <w:widowControl w:val="0"/>
              <w:rPr>
                <w:sz w:val="17"/>
                <w:szCs w:val="17"/>
              </w:rPr>
            </w:pPr>
          </w:p>
          <w:p w14:paraId="48ACABD7" w14:textId="77777777" w:rsidR="005555C4" w:rsidRPr="00746499" w:rsidRDefault="005555C4" w:rsidP="005555C4">
            <w:pPr>
              <w:widowControl w:val="0"/>
              <w:rPr>
                <w:sz w:val="17"/>
                <w:szCs w:val="17"/>
              </w:rPr>
            </w:pPr>
          </w:p>
          <w:p w14:paraId="23494148" w14:textId="77777777" w:rsidR="005555C4" w:rsidRPr="00746499" w:rsidRDefault="005555C4" w:rsidP="005555C4">
            <w:pPr>
              <w:widowControl w:val="0"/>
              <w:rPr>
                <w:sz w:val="17"/>
                <w:szCs w:val="17"/>
              </w:rPr>
            </w:pPr>
          </w:p>
          <w:p w14:paraId="4C5A2964" w14:textId="77777777" w:rsidR="005555C4" w:rsidRPr="00746499" w:rsidRDefault="005555C4" w:rsidP="005555C4">
            <w:pPr>
              <w:widowControl w:val="0"/>
              <w:rPr>
                <w:sz w:val="17"/>
                <w:szCs w:val="17"/>
              </w:rPr>
            </w:pPr>
          </w:p>
          <w:p w14:paraId="39F2D10C" w14:textId="77777777" w:rsidR="005555C4" w:rsidRPr="00746499" w:rsidRDefault="005555C4" w:rsidP="005555C4">
            <w:pPr>
              <w:widowControl w:val="0"/>
              <w:rPr>
                <w:b/>
                <w:sz w:val="17"/>
                <w:szCs w:val="17"/>
                <w:lang w:eastAsia="uz-Cyrl-UZ"/>
              </w:rPr>
            </w:pPr>
            <w:r w:rsidRPr="00746499">
              <w:rPr>
                <w:b/>
                <w:sz w:val="17"/>
                <w:szCs w:val="17"/>
                <w:lang w:val="en-GB"/>
              </w:rPr>
              <w:t xml:space="preserve">Indicator: </w:t>
            </w:r>
            <w:r w:rsidRPr="00746499">
              <w:rPr>
                <w:sz w:val="17"/>
                <w:szCs w:val="17"/>
                <w:lang w:eastAsia="uz-Cyrl-UZ"/>
              </w:rPr>
              <w:t>Extent to which special climate finance is accessed by Moldova</w:t>
            </w:r>
          </w:p>
          <w:p w14:paraId="334A8C88" w14:textId="77777777" w:rsidR="005555C4" w:rsidRPr="00746499" w:rsidRDefault="005555C4" w:rsidP="005555C4">
            <w:pPr>
              <w:rPr>
                <w:sz w:val="17"/>
                <w:szCs w:val="17"/>
              </w:rPr>
            </w:pPr>
            <w:r w:rsidRPr="00746499">
              <w:rPr>
                <w:b/>
                <w:sz w:val="17"/>
                <w:szCs w:val="17"/>
              </w:rPr>
              <w:t>Baseline</w:t>
            </w:r>
            <w:r w:rsidRPr="00746499">
              <w:rPr>
                <w:sz w:val="17"/>
                <w:szCs w:val="17"/>
              </w:rPr>
              <w:t>: 0 (There are no interventions financed by Adaptation or Green Climate Fund) (2016)</w:t>
            </w:r>
          </w:p>
          <w:p w14:paraId="4DFE08B5" w14:textId="77777777" w:rsidR="005555C4" w:rsidRPr="00746499" w:rsidRDefault="005555C4" w:rsidP="005555C4">
            <w:pPr>
              <w:rPr>
                <w:b/>
                <w:sz w:val="17"/>
                <w:szCs w:val="17"/>
                <w:lang w:val="en-GB"/>
              </w:rPr>
            </w:pPr>
            <w:r w:rsidRPr="00746499">
              <w:rPr>
                <w:b/>
                <w:sz w:val="17"/>
                <w:szCs w:val="17"/>
              </w:rPr>
              <w:t xml:space="preserve">Target: </w:t>
            </w:r>
            <w:r w:rsidRPr="00746499">
              <w:rPr>
                <w:sz w:val="17"/>
                <w:szCs w:val="17"/>
              </w:rPr>
              <w:t>At least one project approved and financed from each of two funds</w:t>
            </w:r>
            <w:r w:rsidRPr="00746499">
              <w:rPr>
                <w:b/>
                <w:sz w:val="17"/>
                <w:szCs w:val="17"/>
              </w:rPr>
              <w:t xml:space="preserve"> </w:t>
            </w:r>
            <w:r w:rsidRPr="00746499">
              <w:rPr>
                <w:sz w:val="17"/>
                <w:szCs w:val="17"/>
              </w:rPr>
              <w:t>(2022)</w:t>
            </w:r>
          </w:p>
        </w:tc>
        <w:tc>
          <w:tcPr>
            <w:tcW w:w="686" w:type="pct"/>
            <w:gridSpan w:val="2"/>
            <w:shd w:val="clear" w:color="auto" w:fill="FFFFFF" w:themeFill="background1"/>
          </w:tcPr>
          <w:p w14:paraId="25A0F6A6" w14:textId="229808E7" w:rsidR="005555C4" w:rsidRPr="00746499" w:rsidRDefault="00F0194D" w:rsidP="005555C4">
            <w:pPr>
              <w:rPr>
                <w:sz w:val="17"/>
                <w:szCs w:val="17"/>
                <w:lang w:val="en-GB"/>
              </w:rPr>
            </w:pPr>
            <w:r w:rsidRPr="00746499">
              <w:rPr>
                <w:sz w:val="17"/>
                <w:szCs w:val="17"/>
                <w:lang w:val="en-GB"/>
              </w:rPr>
              <w:t>UNDAF</w:t>
            </w:r>
            <w:r w:rsidR="005C21B0">
              <w:rPr>
                <w:sz w:val="17"/>
                <w:szCs w:val="17"/>
                <w:lang w:val="en-GB"/>
              </w:rPr>
              <w:t xml:space="preserve"> </w:t>
            </w:r>
            <w:r w:rsidR="005555C4" w:rsidRPr="00746499">
              <w:rPr>
                <w:sz w:val="17"/>
                <w:szCs w:val="17"/>
                <w:lang w:val="en-GB"/>
              </w:rPr>
              <w:t>Progress Report, CPD Progress Report</w:t>
            </w:r>
          </w:p>
          <w:p w14:paraId="2B23118D" w14:textId="77777777" w:rsidR="005555C4" w:rsidRPr="00746499" w:rsidRDefault="005555C4" w:rsidP="005555C4">
            <w:pPr>
              <w:rPr>
                <w:sz w:val="17"/>
                <w:szCs w:val="17"/>
                <w:lang w:val="en-GB"/>
              </w:rPr>
            </w:pPr>
          </w:p>
          <w:p w14:paraId="7B65207E" w14:textId="77777777" w:rsidR="005555C4" w:rsidRPr="00746499" w:rsidRDefault="005555C4" w:rsidP="005555C4">
            <w:pPr>
              <w:rPr>
                <w:sz w:val="17"/>
                <w:szCs w:val="17"/>
                <w:lang w:val="en-GB"/>
              </w:rPr>
            </w:pPr>
          </w:p>
          <w:p w14:paraId="719C6C8B" w14:textId="77777777" w:rsidR="005555C4" w:rsidRPr="00746499" w:rsidRDefault="005555C4" w:rsidP="005555C4">
            <w:pPr>
              <w:rPr>
                <w:sz w:val="17"/>
                <w:szCs w:val="17"/>
                <w:lang w:val="en-GB"/>
              </w:rPr>
            </w:pPr>
          </w:p>
          <w:p w14:paraId="18FD0A8F" w14:textId="77777777" w:rsidR="005555C4" w:rsidRPr="00746499" w:rsidRDefault="005555C4" w:rsidP="005555C4">
            <w:pPr>
              <w:rPr>
                <w:sz w:val="17"/>
                <w:szCs w:val="17"/>
                <w:lang w:val="en-GB"/>
              </w:rPr>
            </w:pPr>
          </w:p>
          <w:p w14:paraId="3E8ABF61" w14:textId="77777777" w:rsidR="005555C4" w:rsidRPr="00746499" w:rsidRDefault="005555C4" w:rsidP="005555C4">
            <w:pPr>
              <w:rPr>
                <w:sz w:val="17"/>
                <w:szCs w:val="17"/>
                <w:lang w:val="en-GB"/>
              </w:rPr>
            </w:pPr>
          </w:p>
          <w:p w14:paraId="6BDCC540" w14:textId="77777777" w:rsidR="005555C4" w:rsidRPr="00746499" w:rsidRDefault="005555C4" w:rsidP="005555C4">
            <w:pPr>
              <w:rPr>
                <w:sz w:val="17"/>
                <w:szCs w:val="17"/>
                <w:lang w:val="en-GB"/>
              </w:rPr>
            </w:pPr>
          </w:p>
          <w:p w14:paraId="0F88205D" w14:textId="77777777" w:rsidR="005555C4" w:rsidRPr="00746499" w:rsidRDefault="005555C4" w:rsidP="005555C4">
            <w:pPr>
              <w:rPr>
                <w:sz w:val="17"/>
                <w:szCs w:val="17"/>
                <w:lang w:val="en-GB"/>
              </w:rPr>
            </w:pPr>
          </w:p>
          <w:p w14:paraId="744E49DA" w14:textId="77777777" w:rsidR="005555C4" w:rsidRPr="00746499" w:rsidRDefault="005555C4" w:rsidP="005555C4">
            <w:pPr>
              <w:rPr>
                <w:sz w:val="17"/>
                <w:szCs w:val="17"/>
                <w:lang w:val="en-GB"/>
              </w:rPr>
            </w:pPr>
          </w:p>
          <w:p w14:paraId="7A7427A1" w14:textId="77777777" w:rsidR="005555C4" w:rsidRPr="00746499" w:rsidRDefault="005555C4" w:rsidP="005555C4">
            <w:pPr>
              <w:rPr>
                <w:sz w:val="17"/>
                <w:szCs w:val="17"/>
                <w:lang w:val="en-GB"/>
              </w:rPr>
            </w:pPr>
          </w:p>
          <w:p w14:paraId="55213A02" w14:textId="77777777" w:rsidR="005555C4" w:rsidRPr="00746499" w:rsidRDefault="005555C4" w:rsidP="005555C4">
            <w:pPr>
              <w:rPr>
                <w:sz w:val="17"/>
                <w:szCs w:val="17"/>
                <w:lang w:val="en-GB"/>
              </w:rPr>
            </w:pPr>
          </w:p>
          <w:p w14:paraId="76BB3591" w14:textId="77777777" w:rsidR="005555C4" w:rsidRPr="00746499" w:rsidRDefault="005555C4" w:rsidP="005555C4">
            <w:pPr>
              <w:rPr>
                <w:sz w:val="17"/>
                <w:szCs w:val="17"/>
                <w:lang w:val="en-GB"/>
              </w:rPr>
            </w:pPr>
          </w:p>
          <w:p w14:paraId="0702E986" w14:textId="77777777" w:rsidR="005555C4" w:rsidRPr="00746499" w:rsidRDefault="005555C4" w:rsidP="005555C4">
            <w:pPr>
              <w:rPr>
                <w:sz w:val="17"/>
                <w:szCs w:val="17"/>
                <w:lang w:val="en-GB"/>
              </w:rPr>
            </w:pPr>
          </w:p>
          <w:p w14:paraId="15C5783F" w14:textId="77777777" w:rsidR="005555C4" w:rsidRPr="00746499" w:rsidRDefault="005555C4" w:rsidP="005555C4">
            <w:pPr>
              <w:rPr>
                <w:sz w:val="17"/>
                <w:szCs w:val="17"/>
                <w:lang w:val="en-GB"/>
              </w:rPr>
            </w:pPr>
          </w:p>
          <w:p w14:paraId="53A2D610" w14:textId="77777777" w:rsidR="005555C4" w:rsidRPr="00746499" w:rsidRDefault="005555C4" w:rsidP="005555C4">
            <w:pPr>
              <w:rPr>
                <w:sz w:val="17"/>
                <w:szCs w:val="17"/>
                <w:lang w:val="en-GB"/>
              </w:rPr>
            </w:pPr>
          </w:p>
          <w:p w14:paraId="28FB011A" w14:textId="77777777" w:rsidR="005555C4" w:rsidRPr="00746499" w:rsidRDefault="005555C4" w:rsidP="005555C4">
            <w:pPr>
              <w:rPr>
                <w:sz w:val="17"/>
                <w:szCs w:val="17"/>
                <w:lang w:val="en-GB"/>
              </w:rPr>
            </w:pPr>
          </w:p>
          <w:p w14:paraId="4065FB64" w14:textId="77777777" w:rsidR="005555C4" w:rsidRPr="00746499" w:rsidRDefault="005555C4" w:rsidP="005555C4">
            <w:pPr>
              <w:rPr>
                <w:sz w:val="17"/>
                <w:szCs w:val="17"/>
                <w:lang w:val="en-GB"/>
              </w:rPr>
            </w:pPr>
          </w:p>
          <w:p w14:paraId="236A06F8" w14:textId="77777777" w:rsidR="005555C4" w:rsidRPr="00746499" w:rsidRDefault="005555C4" w:rsidP="005555C4">
            <w:pPr>
              <w:rPr>
                <w:sz w:val="17"/>
                <w:szCs w:val="17"/>
                <w:lang w:val="en-GB"/>
              </w:rPr>
            </w:pPr>
          </w:p>
          <w:p w14:paraId="359A1131" w14:textId="77777777" w:rsidR="005555C4" w:rsidRPr="00746499" w:rsidRDefault="005555C4" w:rsidP="005555C4">
            <w:pPr>
              <w:rPr>
                <w:sz w:val="17"/>
                <w:szCs w:val="17"/>
                <w:lang w:val="en-GB"/>
              </w:rPr>
            </w:pPr>
          </w:p>
          <w:p w14:paraId="72924802" w14:textId="77777777" w:rsidR="005555C4" w:rsidRDefault="005555C4" w:rsidP="005555C4">
            <w:pPr>
              <w:rPr>
                <w:sz w:val="17"/>
                <w:szCs w:val="17"/>
                <w:lang w:val="en-GB"/>
              </w:rPr>
            </w:pPr>
          </w:p>
          <w:p w14:paraId="3D41DBBF" w14:textId="77777777" w:rsidR="005C21B0" w:rsidRPr="00746499" w:rsidRDefault="005C21B0" w:rsidP="005555C4">
            <w:pPr>
              <w:rPr>
                <w:sz w:val="17"/>
                <w:szCs w:val="17"/>
                <w:lang w:val="en-GB"/>
              </w:rPr>
            </w:pPr>
          </w:p>
          <w:p w14:paraId="70E1724E" w14:textId="199D2930" w:rsidR="005555C4" w:rsidRPr="00746499" w:rsidRDefault="005555C4" w:rsidP="005555C4">
            <w:pPr>
              <w:rPr>
                <w:sz w:val="17"/>
                <w:szCs w:val="17"/>
              </w:rPr>
            </w:pPr>
            <w:r w:rsidRPr="00746499">
              <w:rPr>
                <w:sz w:val="17"/>
                <w:szCs w:val="17"/>
              </w:rPr>
              <w:t>Ministry of Environment</w:t>
            </w:r>
            <w:r w:rsidR="00325275" w:rsidRPr="00746499">
              <w:rPr>
                <w:sz w:val="17"/>
                <w:szCs w:val="17"/>
              </w:rPr>
              <w:t xml:space="preserve"> Reports</w:t>
            </w:r>
          </w:p>
          <w:p w14:paraId="13EB04AA" w14:textId="77777777" w:rsidR="005555C4" w:rsidRPr="00746499" w:rsidRDefault="005555C4" w:rsidP="005555C4">
            <w:pPr>
              <w:rPr>
                <w:sz w:val="17"/>
                <w:szCs w:val="17"/>
                <w:lang w:eastAsia="uz-Cyrl-UZ"/>
              </w:rPr>
            </w:pPr>
          </w:p>
        </w:tc>
        <w:tc>
          <w:tcPr>
            <w:tcW w:w="1528" w:type="pct"/>
            <w:gridSpan w:val="2"/>
            <w:shd w:val="clear" w:color="auto" w:fill="FFFFFF" w:themeFill="background1"/>
            <w:tcMar>
              <w:top w:w="72" w:type="dxa"/>
              <w:left w:w="144" w:type="dxa"/>
              <w:bottom w:w="72" w:type="dxa"/>
              <w:right w:w="144" w:type="dxa"/>
            </w:tcMar>
          </w:tcPr>
          <w:p w14:paraId="3A1E97A5" w14:textId="77777777" w:rsidR="005555C4" w:rsidRPr="00746499" w:rsidRDefault="005555C4" w:rsidP="005555C4">
            <w:pPr>
              <w:rPr>
                <w:sz w:val="17"/>
                <w:szCs w:val="17"/>
              </w:rPr>
            </w:pPr>
            <w:r w:rsidRPr="00746499">
              <w:rPr>
                <w:b/>
                <w:sz w:val="17"/>
                <w:szCs w:val="17"/>
              </w:rPr>
              <w:t>OUTPUT 3.3 National and sub-national governments have improved capacities to integrate resilience to climate change and disasters into development plans and practices to reduce population’s vulnerability</w:t>
            </w:r>
            <w:r w:rsidRPr="00746499">
              <w:rPr>
                <w:sz w:val="17"/>
                <w:szCs w:val="17"/>
              </w:rPr>
              <w:t xml:space="preserve"> </w:t>
            </w:r>
          </w:p>
          <w:p w14:paraId="42AC5D06" w14:textId="77777777" w:rsidR="005555C4" w:rsidRPr="00746499" w:rsidRDefault="005555C4" w:rsidP="005555C4">
            <w:pPr>
              <w:rPr>
                <w:sz w:val="17"/>
                <w:szCs w:val="17"/>
              </w:rPr>
            </w:pPr>
          </w:p>
          <w:p w14:paraId="69797EFA" w14:textId="77777777" w:rsidR="005555C4" w:rsidRPr="00746499" w:rsidRDefault="005555C4" w:rsidP="005555C4">
            <w:pPr>
              <w:rPr>
                <w:sz w:val="17"/>
                <w:szCs w:val="17"/>
              </w:rPr>
            </w:pPr>
            <w:r w:rsidRPr="00746499">
              <w:rPr>
                <w:b/>
                <w:sz w:val="17"/>
                <w:szCs w:val="17"/>
              </w:rPr>
              <w:t xml:space="preserve">Indicator 3.3.1 </w:t>
            </w:r>
            <w:r w:rsidRPr="00746499">
              <w:rPr>
                <w:sz w:val="17"/>
                <w:szCs w:val="17"/>
              </w:rPr>
              <w:t xml:space="preserve">Number of </w:t>
            </w:r>
            <w:r w:rsidR="00EE7E6B" w:rsidRPr="00746499">
              <w:rPr>
                <w:sz w:val="17"/>
                <w:szCs w:val="17"/>
              </w:rPr>
              <w:t xml:space="preserve">new </w:t>
            </w:r>
            <w:r w:rsidRPr="00746499">
              <w:rPr>
                <w:sz w:val="17"/>
                <w:szCs w:val="17"/>
              </w:rPr>
              <w:t>gender-responsive disaster risk reduction and climate change</w:t>
            </w:r>
            <w:r w:rsidR="005108DA" w:rsidRPr="00746499">
              <w:rPr>
                <w:sz w:val="17"/>
                <w:szCs w:val="17"/>
              </w:rPr>
              <w:t xml:space="preserve"> needs assessment and</w:t>
            </w:r>
            <w:r w:rsidRPr="00746499">
              <w:rPr>
                <w:sz w:val="17"/>
                <w:szCs w:val="17"/>
              </w:rPr>
              <w:t xml:space="preserve"> adaptation plans</w:t>
            </w:r>
            <w:r w:rsidR="00EE7E6B" w:rsidRPr="00746499">
              <w:rPr>
                <w:rStyle w:val="formatdata"/>
                <w:color w:val="0000FF"/>
                <w:sz w:val="17"/>
                <w:szCs w:val="17"/>
              </w:rPr>
              <w:t>,</w:t>
            </w:r>
            <w:r w:rsidR="005108DA" w:rsidRPr="00746499">
              <w:rPr>
                <w:rStyle w:val="FootnoteReference"/>
                <w:color w:val="0000FF"/>
                <w:sz w:val="17"/>
                <w:szCs w:val="17"/>
              </w:rPr>
              <w:footnoteReference w:id="30"/>
            </w:r>
            <w:r w:rsidR="00EE7E6B" w:rsidRPr="00746499">
              <w:rPr>
                <w:rStyle w:val="formatdata"/>
                <w:color w:val="0000FF"/>
                <w:sz w:val="17"/>
                <w:szCs w:val="17"/>
              </w:rPr>
              <w:t xml:space="preserve"> </w:t>
            </w:r>
            <w:r w:rsidR="00EE7E6B" w:rsidRPr="00746499">
              <w:rPr>
                <w:sz w:val="17"/>
                <w:szCs w:val="17"/>
              </w:rPr>
              <w:t>including number of those gender-responsive</w:t>
            </w:r>
          </w:p>
          <w:p w14:paraId="750927D1" w14:textId="0F6A9747" w:rsidR="005555C4" w:rsidRPr="00746499" w:rsidRDefault="005555C4" w:rsidP="005555C4">
            <w:pPr>
              <w:rPr>
                <w:sz w:val="17"/>
                <w:szCs w:val="17"/>
              </w:rPr>
            </w:pPr>
            <w:r w:rsidRPr="00746499">
              <w:rPr>
                <w:b/>
                <w:sz w:val="17"/>
                <w:szCs w:val="17"/>
              </w:rPr>
              <w:t xml:space="preserve">Baseline </w:t>
            </w:r>
            <w:r w:rsidRPr="00746499">
              <w:rPr>
                <w:sz w:val="17"/>
                <w:szCs w:val="17"/>
              </w:rPr>
              <w:t xml:space="preserve">(2016): 18 (including 12 DRR and 6 </w:t>
            </w:r>
            <w:r w:rsidR="00992B72" w:rsidRPr="00746499">
              <w:rPr>
                <w:sz w:val="17"/>
                <w:szCs w:val="17"/>
              </w:rPr>
              <w:t xml:space="preserve">climate change </w:t>
            </w:r>
            <w:r w:rsidRPr="00746499">
              <w:rPr>
                <w:sz w:val="17"/>
                <w:szCs w:val="17"/>
              </w:rPr>
              <w:t xml:space="preserve">adaptation plans), out of which 7 gender responsive </w:t>
            </w:r>
          </w:p>
          <w:p w14:paraId="7B496573" w14:textId="77777777" w:rsidR="005555C4" w:rsidRPr="00746499" w:rsidRDefault="005555C4" w:rsidP="005555C4">
            <w:pPr>
              <w:rPr>
                <w:sz w:val="17"/>
                <w:szCs w:val="17"/>
              </w:rPr>
            </w:pPr>
            <w:r w:rsidRPr="00746499">
              <w:rPr>
                <w:b/>
                <w:sz w:val="17"/>
                <w:szCs w:val="17"/>
              </w:rPr>
              <w:t xml:space="preserve">Target: </w:t>
            </w:r>
            <w:r w:rsidRPr="00746499">
              <w:rPr>
                <w:sz w:val="17"/>
                <w:szCs w:val="17"/>
              </w:rPr>
              <w:t>28 (including 15 DRR and 13 CC adaptation plans), all gender responsive</w:t>
            </w:r>
          </w:p>
          <w:p w14:paraId="20768BE3" w14:textId="7681028C" w:rsidR="007976ED" w:rsidRPr="00746499" w:rsidRDefault="005555C4" w:rsidP="005555C4">
            <w:pPr>
              <w:rPr>
                <w:sz w:val="17"/>
                <w:szCs w:val="17"/>
                <w:lang w:eastAsia="uz-Cyrl-UZ"/>
              </w:rPr>
            </w:pPr>
            <w:r w:rsidRPr="00746499">
              <w:rPr>
                <w:b/>
                <w:sz w:val="17"/>
                <w:szCs w:val="17"/>
                <w:lang w:eastAsia="uz-Cyrl-UZ"/>
              </w:rPr>
              <w:t>Means of verification</w:t>
            </w:r>
            <w:r w:rsidRPr="00746499">
              <w:rPr>
                <w:sz w:val="17"/>
                <w:szCs w:val="17"/>
                <w:lang w:eastAsia="uz-Cyrl-UZ"/>
              </w:rPr>
              <w:t xml:space="preserve">: UNDP </w:t>
            </w:r>
            <w:r w:rsidR="007976ED" w:rsidRPr="00746499">
              <w:rPr>
                <w:sz w:val="17"/>
                <w:szCs w:val="17"/>
                <w:lang w:eastAsia="uz-Cyrl-UZ"/>
              </w:rPr>
              <w:t xml:space="preserve">reports </w:t>
            </w:r>
          </w:p>
          <w:p w14:paraId="2B4C2D60" w14:textId="77777777" w:rsidR="00920D80" w:rsidRDefault="00920D80" w:rsidP="005555C4">
            <w:pPr>
              <w:rPr>
                <w:b/>
                <w:sz w:val="17"/>
                <w:szCs w:val="17"/>
              </w:rPr>
            </w:pPr>
          </w:p>
          <w:p w14:paraId="32A7BEEF" w14:textId="77777777" w:rsidR="005555C4" w:rsidRPr="00746499" w:rsidRDefault="005555C4" w:rsidP="005555C4">
            <w:pPr>
              <w:rPr>
                <w:sz w:val="17"/>
                <w:szCs w:val="17"/>
              </w:rPr>
            </w:pPr>
            <w:r w:rsidRPr="00746499">
              <w:rPr>
                <w:b/>
                <w:sz w:val="17"/>
                <w:szCs w:val="17"/>
              </w:rPr>
              <w:t>Indicator 3.3.2</w:t>
            </w:r>
            <w:r w:rsidRPr="00746499">
              <w:rPr>
                <w:sz w:val="17"/>
                <w:szCs w:val="17"/>
              </w:rPr>
              <w:t>. Number of rural population benefitting from Climate change adaptation</w:t>
            </w:r>
            <w:r w:rsidR="00860FBD" w:rsidRPr="00746499">
              <w:rPr>
                <w:sz w:val="17"/>
                <w:szCs w:val="17"/>
              </w:rPr>
              <w:t xml:space="preserve"> and DRR measures</w:t>
            </w:r>
            <w:r w:rsidRPr="00746499">
              <w:rPr>
                <w:sz w:val="17"/>
                <w:szCs w:val="17"/>
              </w:rPr>
              <w:t xml:space="preserve">, </w:t>
            </w:r>
            <w:r w:rsidR="00EE7E6B" w:rsidRPr="00746499">
              <w:rPr>
                <w:sz w:val="17"/>
                <w:szCs w:val="17"/>
              </w:rPr>
              <w:t xml:space="preserve">including share of women, minority, rural </w:t>
            </w:r>
            <w:r w:rsidRPr="00746499">
              <w:rPr>
                <w:sz w:val="17"/>
                <w:szCs w:val="17"/>
              </w:rPr>
              <w:t xml:space="preserve"> </w:t>
            </w:r>
          </w:p>
          <w:p w14:paraId="68549F21" w14:textId="77777777" w:rsidR="005555C4" w:rsidRPr="00746499" w:rsidRDefault="005555C4" w:rsidP="005555C4">
            <w:pPr>
              <w:rPr>
                <w:sz w:val="17"/>
                <w:szCs w:val="17"/>
              </w:rPr>
            </w:pPr>
            <w:r w:rsidRPr="00746499">
              <w:rPr>
                <w:b/>
                <w:sz w:val="17"/>
                <w:szCs w:val="17"/>
              </w:rPr>
              <w:t>Baseline (2016)</w:t>
            </w:r>
            <w:r w:rsidRPr="00746499">
              <w:rPr>
                <w:sz w:val="17"/>
                <w:szCs w:val="17"/>
              </w:rPr>
              <w:t>: 4,596 (women n/a)</w:t>
            </w:r>
          </w:p>
          <w:p w14:paraId="116999B2" w14:textId="77777777" w:rsidR="005555C4" w:rsidRPr="00746499" w:rsidRDefault="005555C4" w:rsidP="005555C4">
            <w:pPr>
              <w:rPr>
                <w:sz w:val="17"/>
                <w:szCs w:val="17"/>
              </w:rPr>
            </w:pPr>
            <w:r w:rsidRPr="00746499">
              <w:rPr>
                <w:b/>
                <w:sz w:val="17"/>
                <w:szCs w:val="17"/>
              </w:rPr>
              <w:t>Target:</w:t>
            </w:r>
            <w:r w:rsidRPr="00746499">
              <w:rPr>
                <w:sz w:val="17"/>
                <w:szCs w:val="17"/>
              </w:rPr>
              <w:t xml:space="preserve"> 10,000 (</w:t>
            </w:r>
            <w:r w:rsidR="00EE7E6B" w:rsidRPr="00746499">
              <w:rPr>
                <w:sz w:val="17"/>
                <w:szCs w:val="17"/>
              </w:rPr>
              <w:t>53%women</w:t>
            </w:r>
            <w:r w:rsidRPr="00746499">
              <w:rPr>
                <w:sz w:val="17"/>
                <w:szCs w:val="17"/>
              </w:rPr>
              <w:t xml:space="preserve">, </w:t>
            </w:r>
            <w:r w:rsidR="00EE7E6B" w:rsidRPr="00746499">
              <w:rPr>
                <w:sz w:val="17"/>
                <w:szCs w:val="17"/>
              </w:rPr>
              <w:t xml:space="preserve">10% </w:t>
            </w:r>
            <w:r w:rsidRPr="00746499">
              <w:rPr>
                <w:sz w:val="17"/>
                <w:szCs w:val="17"/>
              </w:rPr>
              <w:t>minority,</w:t>
            </w:r>
            <w:r w:rsidR="00EE7E6B" w:rsidRPr="00746499">
              <w:rPr>
                <w:sz w:val="17"/>
                <w:szCs w:val="17"/>
              </w:rPr>
              <w:t xml:space="preserve"> 100%</w:t>
            </w:r>
            <w:r w:rsidRPr="00746499">
              <w:rPr>
                <w:sz w:val="17"/>
                <w:szCs w:val="17"/>
              </w:rPr>
              <w:t>)</w:t>
            </w:r>
          </w:p>
          <w:p w14:paraId="1B39F9F0" w14:textId="77777777" w:rsidR="005555C4" w:rsidRPr="00746499" w:rsidRDefault="005555C4" w:rsidP="005555C4">
            <w:pPr>
              <w:rPr>
                <w:sz w:val="17"/>
                <w:szCs w:val="17"/>
                <w:lang w:eastAsia="uz-Cyrl-UZ"/>
              </w:rPr>
            </w:pPr>
            <w:r w:rsidRPr="00746499">
              <w:rPr>
                <w:b/>
                <w:sz w:val="17"/>
                <w:szCs w:val="17"/>
              </w:rPr>
              <w:t xml:space="preserve">Means of verification: </w:t>
            </w:r>
            <w:r w:rsidRPr="00746499">
              <w:rPr>
                <w:sz w:val="17"/>
                <w:szCs w:val="17"/>
                <w:lang w:eastAsia="uz-Cyrl-UZ"/>
              </w:rPr>
              <w:t xml:space="preserve">UNDP </w:t>
            </w:r>
            <w:r w:rsidR="00325275" w:rsidRPr="00746499">
              <w:rPr>
                <w:sz w:val="17"/>
                <w:szCs w:val="17"/>
                <w:lang w:eastAsia="uz-Cyrl-UZ"/>
              </w:rPr>
              <w:t>reports</w:t>
            </w:r>
          </w:p>
          <w:p w14:paraId="1A362F7A" w14:textId="77777777" w:rsidR="005555C4" w:rsidRPr="00746499" w:rsidRDefault="005555C4" w:rsidP="005555C4">
            <w:pPr>
              <w:rPr>
                <w:b/>
                <w:sz w:val="17"/>
                <w:szCs w:val="17"/>
              </w:rPr>
            </w:pPr>
          </w:p>
          <w:p w14:paraId="2BC81325" w14:textId="77777777" w:rsidR="005555C4" w:rsidRPr="00920D80" w:rsidRDefault="005555C4" w:rsidP="005555C4">
            <w:pPr>
              <w:rPr>
                <w:sz w:val="17"/>
                <w:szCs w:val="17"/>
              </w:rPr>
            </w:pPr>
            <w:r w:rsidRPr="00746499">
              <w:rPr>
                <w:b/>
                <w:sz w:val="17"/>
                <w:szCs w:val="17"/>
              </w:rPr>
              <w:t xml:space="preserve">Indicator 3.3.3 </w:t>
            </w:r>
            <w:r w:rsidRPr="00920D80">
              <w:rPr>
                <w:sz w:val="17"/>
                <w:szCs w:val="17"/>
              </w:rPr>
              <w:t xml:space="preserve">Presence of institutional system to catalyze investments in low carbon </w:t>
            </w:r>
            <w:r w:rsidR="00527E2E" w:rsidRPr="00920D80">
              <w:rPr>
                <w:sz w:val="17"/>
                <w:szCs w:val="17"/>
              </w:rPr>
              <w:t xml:space="preserve">and resilient </w:t>
            </w:r>
            <w:r w:rsidRPr="00920D80">
              <w:rPr>
                <w:sz w:val="17"/>
                <w:szCs w:val="17"/>
              </w:rPr>
              <w:t xml:space="preserve">green urban development </w:t>
            </w:r>
          </w:p>
          <w:p w14:paraId="54FD0B51" w14:textId="77777777" w:rsidR="00620F18" w:rsidRDefault="005555C4" w:rsidP="005C21B0">
            <w:pPr>
              <w:pStyle w:val="MediumGrid1-Accent21"/>
              <w:ind w:left="0"/>
              <w:jc w:val="both"/>
              <w:rPr>
                <w:sz w:val="17"/>
                <w:szCs w:val="17"/>
              </w:rPr>
            </w:pPr>
            <w:r w:rsidRPr="00746499">
              <w:rPr>
                <w:b/>
                <w:sz w:val="17"/>
                <w:szCs w:val="17"/>
              </w:rPr>
              <w:t xml:space="preserve">Baseline 2016: </w:t>
            </w:r>
            <w:r w:rsidRPr="00746499">
              <w:rPr>
                <w:sz w:val="17"/>
                <w:szCs w:val="17"/>
              </w:rPr>
              <w:t>No operationally and financially sustainable system in place</w:t>
            </w:r>
          </w:p>
          <w:p w14:paraId="340370DB" w14:textId="0AA80D21" w:rsidR="00B93F73" w:rsidRPr="00746499" w:rsidRDefault="005555C4" w:rsidP="005C21B0">
            <w:pPr>
              <w:pStyle w:val="MediumGrid1-Accent21"/>
              <w:ind w:left="0"/>
              <w:jc w:val="both"/>
              <w:rPr>
                <w:sz w:val="17"/>
                <w:szCs w:val="17"/>
              </w:rPr>
            </w:pPr>
            <w:r w:rsidRPr="00746499">
              <w:rPr>
                <w:b/>
                <w:sz w:val="17"/>
                <w:szCs w:val="17"/>
              </w:rPr>
              <w:t xml:space="preserve">Target:  </w:t>
            </w:r>
            <w:r w:rsidRPr="00746499">
              <w:rPr>
                <w:sz w:val="17"/>
                <w:szCs w:val="17"/>
              </w:rPr>
              <w:t xml:space="preserve">Green City Lab established with at least five demonstration projects </w:t>
            </w:r>
          </w:p>
          <w:p w14:paraId="3C8D42CC" w14:textId="1525EB4D" w:rsidR="005555C4" w:rsidRPr="00746499" w:rsidRDefault="005555C4" w:rsidP="005555C4">
            <w:pPr>
              <w:rPr>
                <w:b/>
                <w:iCs/>
                <w:color w:val="000000"/>
                <w:sz w:val="17"/>
                <w:szCs w:val="17"/>
              </w:rPr>
            </w:pPr>
            <w:r w:rsidRPr="00746499">
              <w:rPr>
                <w:b/>
                <w:sz w:val="17"/>
                <w:szCs w:val="17"/>
              </w:rPr>
              <w:t xml:space="preserve">Means of verification: </w:t>
            </w:r>
            <w:r w:rsidRPr="00746499">
              <w:rPr>
                <w:sz w:val="17"/>
                <w:szCs w:val="17"/>
                <w:lang w:eastAsia="uz-Cyrl-UZ"/>
              </w:rPr>
              <w:t xml:space="preserve">UNDP </w:t>
            </w:r>
            <w:r w:rsidR="007976ED" w:rsidRPr="00746499">
              <w:rPr>
                <w:sz w:val="17"/>
                <w:szCs w:val="17"/>
                <w:lang w:eastAsia="uz-Cyrl-UZ"/>
              </w:rPr>
              <w:t>reports</w:t>
            </w:r>
          </w:p>
        </w:tc>
        <w:tc>
          <w:tcPr>
            <w:tcW w:w="770" w:type="pct"/>
            <w:gridSpan w:val="2"/>
            <w:shd w:val="clear" w:color="auto" w:fill="FFFFFF" w:themeFill="background1"/>
          </w:tcPr>
          <w:p w14:paraId="75F1BD6C" w14:textId="53EBA902" w:rsidR="002F57A2" w:rsidRPr="00746499" w:rsidRDefault="005555C4" w:rsidP="005555C4">
            <w:pPr>
              <w:rPr>
                <w:sz w:val="17"/>
                <w:szCs w:val="17"/>
              </w:rPr>
            </w:pPr>
            <w:r w:rsidRPr="00746499">
              <w:rPr>
                <w:iCs/>
                <w:color w:val="000000"/>
                <w:sz w:val="17"/>
                <w:szCs w:val="17"/>
                <w:lang w:val="en-GB"/>
              </w:rPr>
              <w:t>Civil Protection and Emergency Situations Service</w:t>
            </w:r>
            <w:r w:rsidR="002F57A2" w:rsidRPr="00746499">
              <w:rPr>
                <w:sz w:val="17"/>
                <w:szCs w:val="17"/>
              </w:rPr>
              <w:t xml:space="preserve"> </w:t>
            </w:r>
          </w:p>
          <w:p w14:paraId="017B50E5" w14:textId="54A093EE" w:rsidR="002F57A2" w:rsidRPr="00746499" w:rsidRDefault="002F57A2" w:rsidP="005555C4">
            <w:pPr>
              <w:rPr>
                <w:iCs/>
                <w:color w:val="000000"/>
                <w:sz w:val="17"/>
                <w:szCs w:val="17"/>
                <w:lang w:val="en-GB"/>
              </w:rPr>
            </w:pPr>
            <w:r w:rsidRPr="00746499">
              <w:rPr>
                <w:sz w:val="17"/>
                <w:szCs w:val="17"/>
              </w:rPr>
              <w:t>Ministry of Environment</w:t>
            </w:r>
            <w:r w:rsidR="005555C4" w:rsidRPr="00746499">
              <w:rPr>
                <w:iCs/>
                <w:color w:val="000000"/>
                <w:sz w:val="17"/>
                <w:szCs w:val="17"/>
                <w:lang w:val="en-GB"/>
              </w:rPr>
              <w:t xml:space="preserve">, Ministry of Finance </w:t>
            </w:r>
          </w:p>
          <w:p w14:paraId="12486042" w14:textId="2F57E528" w:rsidR="005555C4" w:rsidRPr="00746499" w:rsidRDefault="002F57A2" w:rsidP="005555C4">
            <w:pPr>
              <w:rPr>
                <w:iCs/>
                <w:color w:val="000000"/>
                <w:sz w:val="17"/>
                <w:szCs w:val="17"/>
                <w:lang w:val="en-GB"/>
              </w:rPr>
            </w:pPr>
            <w:r w:rsidRPr="00746499">
              <w:rPr>
                <w:iCs/>
                <w:color w:val="000000"/>
                <w:sz w:val="17"/>
                <w:szCs w:val="17"/>
                <w:lang w:val="en-GB"/>
              </w:rPr>
              <w:t>Ministry of Agriculture and Food Industry</w:t>
            </w:r>
            <w:r w:rsidR="005555C4" w:rsidRPr="00746499">
              <w:rPr>
                <w:iCs/>
                <w:color w:val="000000"/>
                <w:sz w:val="17"/>
                <w:szCs w:val="17"/>
                <w:lang w:val="en-GB"/>
              </w:rPr>
              <w:t xml:space="preserve">, </w:t>
            </w:r>
          </w:p>
          <w:p w14:paraId="70BE4B79" w14:textId="5DDB4DFF" w:rsidR="002F57A2" w:rsidRPr="00746499" w:rsidRDefault="005555C4" w:rsidP="002F57A2">
            <w:pPr>
              <w:rPr>
                <w:iCs/>
                <w:color w:val="000000"/>
                <w:sz w:val="17"/>
                <w:szCs w:val="17"/>
                <w:lang w:val="en-GB"/>
              </w:rPr>
            </w:pPr>
            <w:r w:rsidRPr="00746499">
              <w:rPr>
                <w:iCs/>
                <w:color w:val="000000"/>
                <w:sz w:val="17"/>
                <w:szCs w:val="17"/>
                <w:lang w:val="en-GB"/>
              </w:rPr>
              <w:t xml:space="preserve">State </w:t>
            </w:r>
            <w:r w:rsidR="00F40B2C" w:rsidRPr="00746499">
              <w:rPr>
                <w:iCs/>
                <w:color w:val="000000"/>
                <w:sz w:val="17"/>
                <w:szCs w:val="17"/>
                <w:lang w:val="en-GB"/>
              </w:rPr>
              <w:t>Chancellery</w:t>
            </w:r>
            <w:r w:rsidRPr="00746499">
              <w:rPr>
                <w:iCs/>
                <w:color w:val="000000"/>
                <w:sz w:val="17"/>
                <w:szCs w:val="17"/>
                <w:lang w:val="en-GB"/>
              </w:rPr>
              <w:t xml:space="preserve"> </w:t>
            </w:r>
          </w:p>
          <w:p w14:paraId="0D21E90A" w14:textId="414C0787" w:rsidR="002F57A2" w:rsidRPr="00746499" w:rsidRDefault="005555C4" w:rsidP="002F57A2">
            <w:pPr>
              <w:rPr>
                <w:iCs/>
                <w:color w:val="000000"/>
                <w:sz w:val="17"/>
                <w:szCs w:val="17"/>
                <w:lang w:val="en-GB"/>
              </w:rPr>
            </w:pPr>
            <w:r w:rsidRPr="00746499">
              <w:rPr>
                <w:iCs/>
                <w:color w:val="000000"/>
                <w:sz w:val="17"/>
                <w:szCs w:val="17"/>
                <w:lang w:val="en-GB"/>
              </w:rPr>
              <w:t xml:space="preserve">Ministry of Economy </w:t>
            </w:r>
          </w:p>
          <w:p w14:paraId="450A49A9" w14:textId="1CC9A25B" w:rsidR="002F57A2" w:rsidRPr="00746499" w:rsidRDefault="002F57A2" w:rsidP="002F57A2">
            <w:pPr>
              <w:rPr>
                <w:iCs/>
                <w:color w:val="000000"/>
                <w:sz w:val="17"/>
                <w:szCs w:val="17"/>
                <w:lang w:val="en-GB"/>
              </w:rPr>
            </w:pPr>
            <w:r w:rsidRPr="00746499">
              <w:rPr>
                <w:sz w:val="17"/>
                <w:szCs w:val="17"/>
              </w:rPr>
              <w:t>Ministry of Regional Development and Construction</w:t>
            </w:r>
          </w:p>
          <w:p w14:paraId="33F6BF8E" w14:textId="7E664E81" w:rsidR="002F57A2" w:rsidRPr="00746499" w:rsidRDefault="005555C4" w:rsidP="002F57A2">
            <w:pPr>
              <w:rPr>
                <w:iCs/>
                <w:color w:val="000000"/>
                <w:sz w:val="17"/>
                <w:szCs w:val="17"/>
                <w:lang w:val="en-GB"/>
              </w:rPr>
            </w:pPr>
            <w:r w:rsidRPr="00746499">
              <w:rPr>
                <w:iCs/>
                <w:color w:val="000000"/>
                <w:sz w:val="17"/>
                <w:szCs w:val="17"/>
                <w:lang w:val="en-GB"/>
              </w:rPr>
              <w:t xml:space="preserve">Ministry of Health, Ministry of Transport, </w:t>
            </w:r>
          </w:p>
          <w:p w14:paraId="6A843E4C" w14:textId="35DE95B6" w:rsidR="002F57A2" w:rsidRPr="00746499" w:rsidRDefault="005555C4" w:rsidP="002F57A2">
            <w:pPr>
              <w:rPr>
                <w:iCs/>
                <w:color w:val="000000"/>
                <w:sz w:val="17"/>
                <w:szCs w:val="17"/>
                <w:lang w:val="en-GB"/>
              </w:rPr>
            </w:pPr>
            <w:r w:rsidRPr="00746499">
              <w:rPr>
                <w:iCs/>
                <w:color w:val="000000"/>
                <w:sz w:val="17"/>
                <w:szCs w:val="17"/>
                <w:lang w:val="en-GB"/>
              </w:rPr>
              <w:t xml:space="preserve">State Hydro Meteorological Service </w:t>
            </w:r>
          </w:p>
          <w:p w14:paraId="7DA176C6" w14:textId="6E56D488" w:rsidR="005555C4" w:rsidRPr="00746499" w:rsidRDefault="005555C4" w:rsidP="002F57A2">
            <w:pPr>
              <w:rPr>
                <w:sz w:val="17"/>
                <w:szCs w:val="17"/>
              </w:rPr>
            </w:pPr>
            <w:r w:rsidRPr="00746499">
              <w:rPr>
                <w:iCs/>
                <w:color w:val="000000"/>
                <w:sz w:val="17"/>
                <w:szCs w:val="17"/>
                <w:lang w:val="en-GB"/>
              </w:rPr>
              <w:t xml:space="preserve">Local authorities, NGOs, </w:t>
            </w:r>
            <w:r w:rsidR="00F40B2C" w:rsidRPr="00746499">
              <w:rPr>
                <w:iCs/>
                <w:color w:val="000000"/>
                <w:sz w:val="17"/>
                <w:szCs w:val="17"/>
                <w:lang w:val="en-GB"/>
              </w:rPr>
              <w:t xml:space="preserve">women's </w:t>
            </w:r>
            <w:r w:rsidRPr="00746499">
              <w:rPr>
                <w:iCs/>
                <w:color w:val="000000"/>
                <w:sz w:val="17"/>
                <w:szCs w:val="17"/>
                <w:lang w:val="en-GB"/>
              </w:rPr>
              <w:t xml:space="preserve">associations, </w:t>
            </w:r>
            <w:r w:rsidR="00F40B2C" w:rsidRPr="00746499">
              <w:rPr>
                <w:iCs/>
                <w:color w:val="000000"/>
                <w:sz w:val="17"/>
                <w:szCs w:val="17"/>
                <w:lang w:val="en-GB"/>
              </w:rPr>
              <w:t>research institutions</w:t>
            </w:r>
          </w:p>
        </w:tc>
        <w:tc>
          <w:tcPr>
            <w:tcW w:w="706" w:type="pct"/>
            <w:gridSpan w:val="2"/>
            <w:shd w:val="clear" w:color="auto" w:fill="FFFFFF" w:themeFill="background1"/>
            <w:tcMar>
              <w:top w:w="15" w:type="dxa"/>
              <w:left w:w="108" w:type="dxa"/>
              <w:bottom w:w="0" w:type="dxa"/>
              <w:right w:w="108" w:type="dxa"/>
            </w:tcMar>
          </w:tcPr>
          <w:p w14:paraId="36568FFA" w14:textId="77777777" w:rsidR="005555C4" w:rsidRPr="00746499" w:rsidRDefault="005555C4" w:rsidP="005555C4">
            <w:pPr>
              <w:rPr>
                <w:b/>
                <w:color w:val="000000"/>
                <w:sz w:val="17"/>
                <w:szCs w:val="17"/>
              </w:rPr>
            </w:pPr>
          </w:p>
        </w:tc>
      </w:tr>
    </w:tbl>
    <w:p w14:paraId="50F3EAEA" w14:textId="77777777" w:rsidR="00620F18" w:rsidRDefault="00620F18" w:rsidP="00620F18">
      <w:pPr>
        <w:jc w:val="center"/>
        <w:rPr>
          <w:lang w:val="en-GB"/>
        </w:rPr>
      </w:pPr>
    </w:p>
    <w:p w14:paraId="083AF211" w14:textId="3A5CB54B" w:rsidR="00291A73" w:rsidRPr="005C21B0" w:rsidRDefault="00620F18" w:rsidP="00620F18">
      <w:pPr>
        <w:jc w:val="center"/>
        <w:rPr>
          <w:lang w:val="en-GB"/>
        </w:rPr>
      </w:pPr>
      <w:r w:rsidRPr="00AE4C43">
        <w:rPr>
          <w:b/>
          <w:noProof/>
          <w:color w:val="000000"/>
          <w:sz w:val="16"/>
          <w:szCs w:val="16"/>
        </w:rPr>
        <w:drawing>
          <wp:inline distT="0" distB="0" distL="0" distR="0" wp14:anchorId="11A3C043" wp14:editId="52137ECA">
            <wp:extent cx="942975" cy="285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291A73" w:rsidRPr="005C21B0" w:rsidSect="005C1151">
      <w:headerReference w:type="even" r:id="rId24"/>
      <w:headerReference w:type="default" r:id="rId25"/>
      <w:footerReference w:type="even" r:id="rId26"/>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646C7" w14:textId="77777777" w:rsidR="00004D5F" w:rsidRDefault="00004D5F" w:rsidP="00441061">
      <w:r>
        <w:separator/>
      </w:r>
    </w:p>
  </w:endnote>
  <w:endnote w:type="continuationSeparator" w:id="0">
    <w:p w14:paraId="0D5E8892" w14:textId="77777777" w:rsidR="00004D5F" w:rsidRDefault="00004D5F"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04485"/>
      <w:docPartObj>
        <w:docPartGallery w:val="Page Numbers (Bottom of Page)"/>
        <w:docPartUnique/>
      </w:docPartObj>
    </w:sdtPr>
    <w:sdtEndPr>
      <w:rPr>
        <w:b/>
        <w:noProof/>
        <w:sz w:val="17"/>
        <w:szCs w:val="17"/>
      </w:rPr>
    </w:sdtEndPr>
    <w:sdtContent>
      <w:p w14:paraId="0941DB31" w14:textId="77777777" w:rsidR="005C21B0" w:rsidRDefault="00863A04" w:rsidP="00863A04">
        <w:pPr>
          <w:pStyle w:val="Footer"/>
          <w:rPr>
            <w:b/>
            <w:noProof/>
            <w:sz w:val="17"/>
            <w:szCs w:val="17"/>
          </w:rPr>
        </w:pPr>
        <w:r w:rsidRPr="00863A04">
          <w:rPr>
            <w:b/>
            <w:sz w:val="17"/>
            <w:szCs w:val="17"/>
          </w:rPr>
          <w:fldChar w:fldCharType="begin"/>
        </w:r>
        <w:r w:rsidRPr="00863A04">
          <w:rPr>
            <w:b/>
            <w:sz w:val="17"/>
            <w:szCs w:val="17"/>
          </w:rPr>
          <w:instrText xml:space="preserve"> PAGE   \* MERGEFORMAT </w:instrText>
        </w:r>
        <w:r w:rsidRPr="00863A04">
          <w:rPr>
            <w:b/>
            <w:sz w:val="17"/>
            <w:szCs w:val="17"/>
          </w:rPr>
          <w:fldChar w:fldCharType="separate"/>
        </w:r>
        <w:r w:rsidR="007B697A">
          <w:rPr>
            <w:b/>
            <w:noProof/>
            <w:sz w:val="17"/>
            <w:szCs w:val="17"/>
          </w:rPr>
          <w:t>6</w:t>
        </w:r>
        <w:r w:rsidRPr="00863A04">
          <w:rPr>
            <w:b/>
            <w:noProof/>
            <w:sz w:val="17"/>
            <w:szCs w:val="17"/>
          </w:rPr>
          <w:fldChar w:fldCharType="end"/>
        </w:r>
      </w:p>
      <w:p w14:paraId="67D25EE9" w14:textId="13A018C2" w:rsidR="00FE35E8" w:rsidRPr="00863A04" w:rsidRDefault="00004D5F" w:rsidP="005C21B0">
        <w:pPr>
          <w:pStyle w:val="Footer"/>
          <w:jc w:val="center"/>
          <w:rPr>
            <w:b/>
            <w:sz w:val="17"/>
            <w:szCs w:val="17"/>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421962"/>
      <w:docPartObj>
        <w:docPartGallery w:val="Page Numbers (Bottom of Page)"/>
        <w:docPartUnique/>
      </w:docPartObj>
    </w:sdtPr>
    <w:sdtEndPr>
      <w:rPr>
        <w:b/>
        <w:noProof/>
        <w:sz w:val="17"/>
        <w:szCs w:val="17"/>
      </w:rPr>
    </w:sdtEndPr>
    <w:sdtContent>
      <w:p w14:paraId="4F30F8D9" w14:textId="4D3CFE94" w:rsidR="00FE35E8" w:rsidRPr="00863A04" w:rsidRDefault="00863A04" w:rsidP="00863A04">
        <w:pPr>
          <w:pStyle w:val="Footer"/>
          <w:jc w:val="right"/>
          <w:rPr>
            <w:b/>
            <w:sz w:val="17"/>
            <w:szCs w:val="17"/>
          </w:rPr>
        </w:pPr>
        <w:r w:rsidRPr="00863A04">
          <w:rPr>
            <w:b/>
            <w:sz w:val="17"/>
            <w:szCs w:val="17"/>
          </w:rPr>
          <w:fldChar w:fldCharType="begin"/>
        </w:r>
        <w:r w:rsidRPr="00863A04">
          <w:rPr>
            <w:b/>
            <w:sz w:val="17"/>
            <w:szCs w:val="17"/>
          </w:rPr>
          <w:instrText xml:space="preserve"> PAGE   \* MERGEFORMAT </w:instrText>
        </w:r>
        <w:r w:rsidRPr="00863A04">
          <w:rPr>
            <w:b/>
            <w:sz w:val="17"/>
            <w:szCs w:val="17"/>
          </w:rPr>
          <w:fldChar w:fldCharType="separate"/>
        </w:r>
        <w:r w:rsidR="007B697A">
          <w:rPr>
            <w:b/>
            <w:noProof/>
            <w:sz w:val="17"/>
            <w:szCs w:val="17"/>
          </w:rPr>
          <w:t>13</w:t>
        </w:r>
        <w:r w:rsidRPr="00863A04">
          <w:rPr>
            <w:b/>
            <w:noProof/>
            <w:sz w:val="17"/>
            <w:szCs w:val="17"/>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575038"/>
      <w:docPartObj>
        <w:docPartGallery w:val="Page Numbers (Bottom of Page)"/>
        <w:docPartUnique/>
      </w:docPartObj>
    </w:sdtPr>
    <w:sdtEndPr>
      <w:rPr>
        <w:b/>
        <w:noProof/>
        <w:sz w:val="17"/>
        <w:szCs w:val="17"/>
      </w:rPr>
    </w:sdtEndPr>
    <w:sdtContent>
      <w:p w14:paraId="425ACB5A" w14:textId="67978A45" w:rsidR="00620F18" w:rsidRPr="00863A04" w:rsidRDefault="00620F18" w:rsidP="00620F18">
        <w:pPr>
          <w:pStyle w:val="Footer"/>
          <w:rPr>
            <w:b/>
            <w:noProof/>
            <w:sz w:val="17"/>
            <w:szCs w:val="17"/>
          </w:rPr>
        </w:pPr>
        <w:r w:rsidRPr="00863A04">
          <w:rPr>
            <w:b/>
            <w:sz w:val="17"/>
            <w:szCs w:val="17"/>
          </w:rPr>
          <w:fldChar w:fldCharType="begin"/>
        </w:r>
        <w:r w:rsidRPr="00863A04">
          <w:rPr>
            <w:b/>
            <w:sz w:val="17"/>
            <w:szCs w:val="17"/>
          </w:rPr>
          <w:instrText xml:space="preserve"> PAGE   \* MERGEFORMAT </w:instrText>
        </w:r>
        <w:r w:rsidRPr="00863A04">
          <w:rPr>
            <w:b/>
            <w:sz w:val="17"/>
            <w:szCs w:val="17"/>
          </w:rPr>
          <w:fldChar w:fldCharType="separate"/>
        </w:r>
        <w:r w:rsidR="007B697A">
          <w:rPr>
            <w:b/>
            <w:noProof/>
            <w:sz w:val="17"/>
            <w:szCs w:val="17"/>
          </w:rPr>
          <w:t>14</w:t>
        </w:r>
        <w:r w:rsidRPr="00863A04">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D70D9" w14:textId="77777777" w:rsidR="00004D5F" w:rsidRDefault="00004D5F" w:rsidP="00441061">
      <w:r>
        <w:separator/>
      </w:r>
    </w:p>
  </w:footnote>
  <w:footnote w:type="continuationSeparator" w:id="0">
    <w:p w14:paraId="24A5DEF9" w14:textId="77777777" w:rsidR="00004D5F" w:rsidRDefault="00004D5F" w:rsidP="00441061">
      <w:r>
        <w:continuationSeparator/>
      </w:r>
    </w:p>
  </w:footnote>
  <w:footnote w:id="1">
    <w:p w14:paraId="1A683DBE" w14:textId="66811F36" w:rsidR="00FE35E8" w:rsidRPr="00080DDB" w:rsidRDefault="00FE35E8" w:rsidP="007E3B57">
      <w:pPr>
        <w:pStyle w:val="FootnoteText"/>
        <w:rPr>
          <w:rFonts w:ascii="Times New Roman" w:hAnsi="Times New Roman"/>
          <w:sz w:val="16"/>
          <w:szCs w:val="16"/>
        </w:rPr>
      </w:pPr>
      <w:r w:rsidRPr="00080DDB">
        <w:rPr>
          <w:rStyle w:val="FootnoteReference"/>
          <w:rFonts w:ascii="Times New Roman" w:hAnsi="Times New Roman"/>
          <w:sz w:val="16"/>
          <w:szCs w:val="16"/>
        </w:rPr>
        <w:footnoteRef/>
      </w:r>
      <w:r>
        <w:rPr>
          <w:rFonts w:ascii="Times New Roman" w:hAnsi="Times New Roman"/>
          <w:sz w:val="16"/>
          <w:szCs w:val="16"/>
        </w:rPr>
        <w:t xml:space="preserve"> </w:t>
      </w:r>
      <w:r w:rsidRPr="00080DDB">
        <w:rPr>
          <w:rFonts w:ascii="Times New Roman" w:hAnsi="Times New Roman"/>
          <w:sz w:val="16"/>
          <w:szCs w:val="16"/>
        </w:rPr>
        <w:t>2015 IMF Economic Outlook</w:t>
      </w:r>
      <w:r>
        <w:rPr>
          <w:rFonts w:ascii="Times New Roman" w:hAnsi="Times New Roman"/>
          <w:sz w:val="16"/>
          <w:szCs w:val="16"/>
        </w:rPr>
        <w:t>.</w:t>
      </w:r>
    </w:p>
  </w:footnote>
  <w:footnote w:id="2">
    <w:p w14:paraId="2C156D2E" w14:textId="080CFE44" w:rsidR="00FE35E8" w:rsidRPr="00080DDB" w:rsidRDefault="00FE35E8" w:rsidP="007E3B57">
      <w:pPr>
        <w:pStyle w:val="FootnoteText"/>
        <w:rPr>
          <w:rFonts w:ascii="Times New Roman" w:hAnsi="Times New Roman"/>
          <w:sz w:val="16"/>
          <w:szCs w:val="16"/>
        </w:rPr>
      </w:pPr>
      <w:r w:rsidRPr="00080DDB">
        <w:rPr>
          <w:rStyle w:val="FootnoteReference"/>
          <w:rFonts w:ascii="Times New Roman" w:hAnsi="Times New Roman"/>
          <w:sz w:val="16"/>
          <w:szCs w:val="16"/>
        </w:rPr>
        <w:footnoteRef/>
      </w:r>
      <w:r w:rsidRPr="00080DDB">
        <w:rPr>
          <w:rFonts w:ascii="Times New Roman" w:hAnsi="Times New Roman"/>
          <w:sz w:val="16"/>
          <w:szCs w:val="16"/>
        </w:rPr>
        <w:t xml:space="preserve"> 2015 W</w:t>
      </w:r>
      <w:r>
        <w:rPr>
          <w:rFonts w:ascii="Times New Roman" w:hAnsi="Times New Roman"/>
          <w:sz w:val="16"/>
          <w:szCs w:val="16"/>
        </w:rPr>
        <w:t xml:space="preserve">orld </w:t>
      </w:r>
      <w:r w:rsidRPr="00080DDB">
        <w:rPr>
          <w:rFonts w:ascii="Times New Roman" w:hAnsi="Times New Roman"/>
          <w:sz w:val="16"/>
          <w:szCs w:val="16"/>
        </w:rPr>
        <w:t>B</w:t>
      </w:r>
      <w:r>
        <w:rPr>
          <w:rFonts w:ascii="Times New Roman" w:hAnsi="Times New Roman"/>
          <w:sz w:val="16"/>
          <w:szCs w:val="16"/>
        </w:rPr>
        <w:t>ank</w:t>
      </w:r>
      <w:r w:rsidRPr="00080DDB">
        <w:rPr>
          <w:rFonts w:ascii="Times New Roman" w:hAnsi="Times New Roman"/>
          <w:sz w:val="16"/>
          <w:szCs w:val="16"/>
        </w:rPr>
        <w:t xml:space="preserve"> </w:t>
      </w:r>
      <w:r w:rsidR="007B697A">
        <w:rPr>
          <w:rFonts w:ascii="Times New Roman" w:hAnsi="Times New Roman"/>
          <w:sz w:val="16"/>
          <w:szCs w:val="16"/>
        </w:rPr>
        <w:t>Performance</w:t>
      </w:r>
      <w:r>
        <w:rPr>
          <w:rFonts w:ascii="Times New Roman" w:hAnsi="Times New Roman"/>
          <w:sz w:val="16"/>
          <w:szCs w:val="16"/>
        </w:rPr>
        <w:t xml:space="preserve"> and Learning Review </w:t>
      </w:r>
      <w:r w:rsidRPr="00080DDB">
        <w:rPr>
          <w:rFonts w:ascii="Times New Roman" w:hAnsi="Times New Roman"/>
          <w:sz w:val="16"/>
          <w:szCs w:val="16"/>
        </w:rPr>
        <w:t>Report</w:t>
      </w:r>
      <w:r>
        <w:rPr>
          <w:rFonts w:ascii="Times New Roman" w:hAnsi="Times New Roman"/>
          <w:sz w:val="16"/>
          <w:szCs w:val="16"/>
        </w:rPr>
        <w:t>, 2014-</w:t>
      </w:r>
      <w:r w:rsidR="00BE51E5">
        <w:rPr>
          <w:rFonts w:ascii="Times New Roman" w:hAnsi="Times New Roman"/>
          <w:sz w:val="16"/>
          <w:szCs w:val="16"/>
        </w:rPr>
        <w:t>2017.</w:t>
      </w:r>
    </w:p>
  </w:footnote>
  <w:footnote w:id="3">
    <w:p w14:paraId="5925E9CB" w14:textId="77777777" w:rsidR="00FE35E8" w:rsidRPr="00080DDB" w:rsidRDefault="00FE35E8" w:rsidP="00844F9B">
      <w:pPr>
        <w:pStyle w:val="FootnoteText"/>
        <w:rPr>
          <w:rFonts w:ascii="Times New Roman" w:hAnsi="Times New Roman"/>
          <w:sz w:val="16"/>
          <w:szCs w:val="16"/>
        </w:rPr>
      </w:pPr>
      <w:r w:rsidRPr="00080DDB">
        <w:rPr>
          <w:rStyle w:val="FootnoteReference"/>
          <w:rFonts w:ascii="Times New Roman" w:hAnsi="Times New Roman"/>
          <w:sz w:val="16"/>
          <w:szCs w:val="16"/>
        </w:rPr>
        <w:footnoteRef/>
      </w:r>
      <w:r w:rsidRPr="00080DDB">
        <w:rPr>
          <w:rFonts w:ascii="Times New Roman" w:hAnsi="Times New Roman"/>
          <w:sz w:val="16"/>
          <w:szCs w:val="16"/>
        </w:rPr>
        <w:t xml:space="preserve"> </w:t>
      </w:r>
      <w:hyperlink r:id="rId1" w:history="1">
        <w:r w:rsidRPr="00080DDB">
          <w:rPr>
            <w:rStyle w:val="Hyperlink"/>
            <w:rFonts w:ascii="Times New Roman" w:hAnsi="Times New Roman"/>
            <w:color w:val="auto"/>
            <w:sz w:val="16"/>
            <w:szCs w:val="16"/>
          </w:rPr>
          <w:t>http://eeas.europa.eu/delegations/moldova/documents/press_corner/20160701_en.pdf</w:t>
        </w:r>
      </w:hyperlink>
      <w:r w:rsidRPr="00080DDB">
        <w:rPr>
          <w:rStyle w:val="Hyperlink"/>
          <w:rFonts w:ascii="Times New Roman" w:hAnsi="Times New Roman"/>
          <w:color w:val="auto"/>
          <w:sz w:val="16"/>
          <w:szCs w:val="16"/>
        </w:rPr>
        <w:t xml:space="preserve"> </w:t>
      </w:r>
    </w:p>
  </w:footnote>
  <w:footnote w:id="4">
    <w:p w14:paraId="1E86F873" w14:textId="77777777" w:rsidR="00FE35E8" w:rsidRPr="00080DDB" w:rsidRDefault="00FE35E8" w:rsidP="001F3525">
      <w:pPr>
        <w:pStyle w:val="FootnoteText"/>
        <w:rPr>
          <w:rFonts w:ascii="Times New Roman" w:hAnsi="Times New Roman"/>
          <w:sz w:val="16"/>
          <w:szCs w:val="16"/>
        </w:rPr>
      </w:pPr>
      <w:r w:rsidRPr="00080DDB">
        <w:rPr>
          <w:rStyle w:val="FootnoteReference"/>
          <w:rFonts w:ascii="Times New Roman" w:hAnsi="Times New Roman"/>
          <w:sz w:val="16"/>
          <w:szCs w:val="16"/>
        </w:rPr>
        <w:footnoteRef/>
      </w:r>
      <w:r w:rsidRPr="00080DDB">
        <w:rPr>
          <w:rFonts w:ascii="Times New Roman" w:hAnsi="Times New Roman"/>
          <w:sz w:val="16"/>
          <w:szCs w:val="16"/>
        </w:rPr>
        <w:t xml:space="preserve"> Failing from 94th to 103rd among 175 countries in 2015</w:t>
      </w:r>
      <w:r w:rsidRPr="00080DDB">
        <w:rPr>
          <w:rFonts w:ascii="Times New Roman" w:hAnsi="Times New Roman"/>
          <w:color w:val="000000"/>
          <w:sz w:val="16"/>
          <w:szCs w:val="16"/>
        </w:rPr>
        <w:t xml:space="preserve">, </w:t>
      </w:r>
      <w:hyperlink r:id="rId2" w:history="1">
        <w:r w:rsidRPr="00080DDB">
          <w:rPr>
            <w:rStyle w:val="Hyperlink"/>
            <w:rFonts w:ascii="Times New Roman" w:hAnsi="Times New Roman"/>
            <w:sz w:val="16"/>
            <w:szCs w:val="16"/>
          </w:rPr>
          <w:t>http://www.transparency.org/cpi2015</w:t>
        </w:r>
      </w:hyperlink>
    </w:p>
  </w:footnote>
  <w:footnote w:id="5">
    <w:p w14:paraId="3AF6163D" w14:textId="02974DB6" w:rsidR="00FE35E8" w:rsidRPr="00080DDB" w:rsidRDefault="00FE35E8" w:rsidP="00844F9B">
      <w:pPr>
        <w:pStyle w:val="FootnoteText"/>
        <w:rPr>
          <w:rFonts w:ascii="Times New Roman" w:hAnsi="Times New Roman"/>
          <w:sz w:val="16"/>
          <w:szCs w:val="16"/>
        </w:rPr>
      </w:pPr>
      <w:r w:rsidRPr="00080DDB">
        <w:rPr>
          <w:rStyle w:val="FootnoteReference"/>
          <w:rFonts w:ascii="Times New Roman" w:hAnsi="Times New Roman"/>
          <w:sz w:val="16"/>
          <w:szCs w:val="16"/>
        </w:rPr>
        <w:footnoteRef/>
      </w:r>
      <w:r w:rsidRPr="00080DDB">
        <w:rPr>
          <w:rFonts w:ascii="Times New Roman" w:hAnsi="Times New Roman"/>
          <w:sz w:val="16"/>
          <w:szCs w:val="16"/>
        </w:rPr>
        <w:t xml:space="preserve"> As planned by the Government in the 2016-2020 Reform Strategy</w:t>
      </w:r>
      <w:r>
        <w:rPr>
          <w:rFonts w:ascii="Times New Roman" w:hAnsi="Times New Roman"/>
          <w:sz w:val="16"/>
          <w:szCs w:val="16"/>
        </w:rPr>
        <w:t>.</w:t>
      </w:r>
    </w:p>
  </w:footnote>
  <w:footnote w:id="6">
    <w:p w14:paraId="119DE5E7" w14:textId="5F849E78" w:rsidR="00FE35E8" w:rsidRDefault="00FE35E8">
      <w:pPr>
        <w:pStyle w:val="FootnoteText"/>
      </w:pPr>
      <w:r w:rsidRPr="00AE0CA6">
        <w:rPr>
          <w:rFonts w:ascii="Times New Roman" w:hAnsi="Times New Roman"/>
          <w:sz w:val="16"/>
          <w:szCs w:val="16"/>
          <w:vertAlign w:val="superscript"/>
        </w:rPr>
        <w:footnoteRef/>
      </w:r>
      <w:r w:rsidRPr="00AE0CA6">
        <w:rPr>
          <w:rFonts w:ascii="Times New Roman" w:hAnsi="Times New Roman"/>
          <w:sz w:val="16"/>
          <w:szCs w:val="16"/>
        </w:rPr>
        <w:t xml:space="preserve"> </w:t>
      </w:r>
      <w:hyperlink r:id="rId3" w:history="1">
        <w:r w:rsidRPr="00AE0CA6">
          <w:rPr>
            <w:rStyle w:val="Hyperlink"/>
            <w:rFonts w:ascii="Times New Roman" w:hAnsi="Times New Roman"/>
            <w:sz w:val="16"/>
            <w:szCs w:val="16"/>
          </w:rPr>
          <w:t>Human Development Report 2016: Human Development for Everyone</w:t>
        </w:r>
      </w:hyperlink>
      <w:r>
        <w:rPr>
          <w:rFonts w:ascii="Times New Roman" w:hAnsi="Times New Roman"/>
          <w:sz w:val="16"/>
          <w:szCs w:val="16"/>
        </w:rPr>
        <w:t xml:space="preserve">, Table 14. </w:t>
      </w:r>
      <w:r w:rsidRPr="00AE0CA6">
        <w:rPr>
          <w:rFonts w:ascii="Times New Roman" w:hAnsi="Times New Roman"/>
          <w:sz w:val="16"/>
          <w:szCs w:val="16"/>
        </w:rPr>
        <w:t xml:space="preserve">Supplementary </w:t>
      </w:r>
      <w:r w:rsidR="00BE51E5" w:rsidRPr="00AE0CA6">
        <w:rPr>
          <w:rFonts w:ascii="Times New Roman" w:hAnsi="Times New Roman"/>
          <w:sz w:val="16"/>
          <w:szCs w:val="16"/>
        </w:rPr>
        <w:t>indicators</w:t>
      </w:r>
      <w:r w:rsidRPr="00AE0CA6">
        <w:rPr>
          <w:rFonts w:ascii="Times New Roman" w:hAnsi="Times New Roman"/>
          <w:sz w:val="16"/>
          <w:szCs w:val="16"/>
        </w:rPr>
        <w:t>: perceptions of</w:t>
      </w:r>
      <w:r>
        <w:rPr>
          <w:rFonts w:ascii="Times New Roman" w:hAnsi="Times New Roman"/>
          <w:sz w:val="16"/>
          <w:szCs w:val="16"/>
        </w:rPr>
        <w:t xml:space="preserve"> </w:t>
      </w:r>
      <w:r w:rsidRPr="00AE0CA6">
        <w:rPr>
          <w:rFonts w:ascii="Times New Roman" w:hAnsi="Times New Roman"/>
          <w:sz w:val="16"/>
          <w:szCs w:val="16"/>
        </w:rPr>
        <w:t>well-being, page 251</w:t>
      </w:r>
      <w:r>
        <w:rPr>
          <w:rFonts w:ascii="Times New Roman" w:hAnsi="Times New Roman"/>
          <w:sz w:val="16"/>
          <w:szCs w:val="16"/>
        </w:rPr>
        <w:t>.</w:t>
      </w:r>
    </w:p>
  </w:footnote>
  <w:footnote w:id="7">
    <w:p w14:paraId="0DC0006C" w14:textId="018CF299" w:rsidR="00FE35E8" w:rsidRPr="00080DDB" w:rsidRDefault="00FE35E8" w:rsidP="009B34A2">
      <w:pPr>
        <w:ind w:right="1210"/>
        <w:jc w:val="both"/>
        <w:rPr>
          <w:sz w:val="16"/>
          <w:szCs w:val="16"/>
        </w:rPr>
      </w:pPr>
      <w:r w:rsidRPr="00080DDB">
        <w:rPr>
          <w:sz w:val="16"/>
          <w:szCs w:val="16"/>
        </w:rPr>
        <w:footnoteRef/>
      </w:r>
      <w:r w:rsidRPr="00080DDB">
        <w:rPr>
          <w:sz w:val="16"/>
          <w:szCs w:val="16"/>
        </w:rPr>
        <w:t xml:space="preserve"> </w:t>
      </w:r>
      <w:hyperlink r:id="rId4" w:history="1">
        <w:r w:rsidRPr="00080DDB">
          <w:rPr>
            <w:rStyle w:val="Hyperlink"/>
            <w:sz w:val="16"/>
            <w:szCs w:val="16"/>
          </w:rPr>
          <w:t>http://ipp.md/public/files/Barometru/BOP_10.2016.pdf</w:t>
        </w:r>
      </w:hyperlink>
      <w:r w:rsidRPr="00080DDB">
        <w:rPr>
          <w:sz w:val="16"/>
          <w:szCs w:val="16"/>
        </w:rPr>
        <w:t xml:space="preserve"> </w:t>
      </w:r>
      <w:r>
        <w:rPr>
          <w:sz w:val="16"/>
          <w:szCs w:val="16"/>
        </w:rPr>
        <w:t>.</w:t>
      </w:r>
    </w:p>
  </w:footnote>
  <w:footnote w:id="8">
    <w:p w14:paraId="19DCF60B" w14:textId="77777777" w:rsidR="00FE35E8" w:rsidRPr="00080DDB" w:rsidRDefault="00FE35E8" w:rsidP="0025412E">
      <w:pPr>
        <w:pStyle w:val="FootnoteText"/>
        <w:rPr>
          <w:rFonts w:ascii="Times New Roman" w:hAnsi="Times New Roman"/>
          <w:sz w:val="16"/>
          <w:szCs w:val="16"/>
        </w:rPr>
      </w:pPr>
      <w:r w:rsidRPr="00080DDB">
        <w:rPr>
          <w:rStyle w:val="FootnoteReference"/>
          <w:rFonts w:ascii="Times New Roman" w:hAnsi="Times New Roman"/>
          <w:sz w:val="16"/>
          <w:szCs w:val="16"/>
        </w:rPr>
        <w:footnoteRef/>
      </w:r>
      <w:r w:rsidRPr="00080DDB">
        <w:rPr>
          <w:rFonts w:ascii="Times New Roman" w:hAnsi="Times New Roman"/>
          <w:sz w:val="16"/>
          <w:szCs w:val="16"/>
        </w:rPr>
        <w:t xml:space="preserve"> </w:t>
      </w:r>
      <w:hyperlink r:id="rId5" w:history="1">
        <w:r w:rsidRPr="00080DDB">
          <w:rPr>
            <w:rFonts w:ascii="Times New Roman" w:hAnsi="Times New Roman"/>
            <w:sz w:val="16"/>
            <w:szCs w:val="16"/>
          </w:rPr>
          <w:t>http://statbank.statistica.md</w:t>
        </w:r>
      </w:hyperlink>
      <w:r w:rsidRPr="00080DDB">
        <w:rPr>
          <w:rFonts w:ascii="Times New Roman" w:hAnsi="Times New Roman"/>
          <w:sz w:val="16"/>
          <w:szCs w:val="16"/>
        </w:rPr>
        <w:t xml:space="preserve"> </w:t>
      </w:r>
    </w:p>
  </w:footnote>
  <w:footnote w:id="9">
    <w:p w14:paraId="4CD7D06C" w14:textId="174382E5" w:rsidR="00FE35E8" w:rsidRPr="00080DDB" w:rsidRDefault="00FE35E8">
      <w:pPr>
        <w:pStyle w:val="FootnoteText"/>
        <w:rPr>
          <w:rFonts w:ascii="Times New Roman" w:hAnsi="Times New Roman"/>
          <w:sz w:val="16"/>
          <w:szCs w:val="16"/>
        </w:rPr>
      </w:pPr>
      <w:r w:rsidRPr="0079542E">
        <w:rPr>
          <w:rFonts w:ascii="Times New Roman" w:hAnsi="Times New Roman"/>
          <w:sz w:val="16"/>
          <w:szCs w:val="16"/>
          <w:vertAlign w:val="superscript"/>
        </w:rPr>
        <w:footnoteRef/>
      </w:r>
      <w:r w:rsidRPr="00080DDB">
        <w:rPr>
          <w:rFonts w:ascii="Times New Roman" w:hAnsi="Times New Roman"/>
          <w:sz w:val="16"/>
          <w:szCs w:val="16"/>
        </w:rPr>
        <w:t xml:space="preserve"> Study on Roma women and girls in Moldova, UNDP 2014</w:t>
      </w:r>
      <w:r>
        <w:rPr>
          <w:rFonts w:ascii="Times New Roman" w:hAnsi="Times New Roman"/>
          <w:sz w:val="16"/>
          <w:szCs w:val="16"/>
        </w:rPr>
        <w:t>.</w:t>
      </w:r>
    </w:p>
  </w:footnote>
  <w:footnote w:id="10">
    <w:p w14:paraId="0E63A391" w14:textId="5210F6FB" w:rsidR="00FE35E8" w:rsidRPr="00080DDB" w:rsidRDefault="00FE35E8" w:rsidP="00B46C85">
      <w:pPr>
        <w:pStyle w:val="FootnoteText"/>
        <w:rPr>
          <w:rFonts w:ascii="Times New Roman" w:hAnsi="Times New Roman"/>
          <w:sz w:val="16"/>
          <w:szCs w:val="16"/>
        </w:rPr>
      </w:pPr>
      <w:r w:rsidRPr="0079542E">
        <w:rPr>
          <w:rFonts w:ascii="Times New Roman" w:hAnsi="Times New Roman"/>
          <w:sz w:val="16"/>
          <w:szCs w:val="16"/>
          <w:vertAlign w:val="superscript"/>
        </w:rPr>
        <w:footnoteRef/>
      </w:r>
      <w:r w:rsidRPr="00080DDB">
        <w:rPr>
          <w:rFonts w:ascii="Times New Roman" w:hAnsi="Times New Roman"/>
          <w:sz w:val="16"/>
          <w:szCs w:val="16"/>
        </w:rPr>
        <w:t xml:space="preserve"> UNDP Regional H</w:t>
      </w:r>
      <w:r>
        <w:rPr>
          <w:rFonts w:ascii="Times New Roman" w:hAnsi="Times New Roman"/>
          <w:sz w:val="16"/>
          <w:szCs w:val="16"/>
        </w:rPr>
        <w:t xml:space="preserve">uman </w:t>
      </w:r>
      <w:r w:rsidR="00BE51E5" w:rsidRPr="00080DDB">
        <w:rPr>
          <w:rFonts w:ascii="Times New Roman" w:hAnsi="Times New Roman"/>
          <w:sz w:val="16"/>
          <w:szCs w:val="16"/>
        </w:rPr>
        <w:t>D</w:t>
      </w:r>
      <w:r w:rsidR="00BE51E5">
        <w:rPr>
          <w:rFonts w:ascii="Times New Roman" w:hAnsi="Times New Roman"/>
          <w:sz w:val="16"/>
          <w:szCs w:val="16"/>
        </w:rPr>
        <w:t>evelopment</w:t>
      </w:r>
      <w:r>
        <w:rPr>
          <w:rFonts w:ascii="Times New Roman" w:hAnsi="Times New Roman"/>
          <w:sz w:val="16"/>
          <w:szCs w:val="16"/>
        </w:rPr>
        <w:t xml:space="preserve"> </w:t>
      </w:r>
      <w:r w:rsidRPr="00080DDB">
        <w:rPr>
          <w:rFonts w:ascii="Times New Roman" w:hAnsi="Times New Roman"/>
          <w:sz w:val="16"/>
          <w:szCs w:val="16"/>
        </w:rPr>
        <w:t>R</w:t>
      </w:r>
      <w:r>
        <w:rPr>
          <w:rFonts w:ascii="Times New Roman" w:hAnsi="Times New Roman"/>
          <w:sz w:val="16"/>
          <w:szCs w:val="16"/>
        </w:rPr>
        <w:t>eport</w:t>
      </w:r>
      <w:r w:rsidRPr="00080DDB">
        <w:rPr>
          <w:rFonts w:ascii="Times New Roman" w:hAnsi="Times New Roman"/>
          <w:sz w:val="16"/>
          <w:szCs w:val="16"/>
        </w:rPr>
        <w:t>, 2016</w:t>
      </w:r>
      <w:r>
        <w:rPr>
          <w:rFonts w:ascii="Times New Roman" w:hAnsi="Times New Roman"/>
          <w:sz w:val="16"/>
          <w:szCs w:val="16"/>
        </w:rPr>
        <w:t>.</w:t>
      </w:r>
    </w:p>
  </w:footnote>
  <w:footnote w:id="11">
    <w:p w14:paraId="1F86AD79" w14:textId="122EF761" w:rsidR="00FE35E8" w:rsidRPr="00080DDB" w:rsidRDefault="00FE35E8" w:rsidP="0025412E">
      <w:pPr>
        <w:pStyle w:val="FootnoteText"/>
        <w:rPr>
          <w:rFonts w:ascii="Times New Roman" w:hAnsi="Times New Roman"/>
          <w:sz w:val="16"/>
          <w:szCs w:val="16"/>
        </w:rPr>
      </w:pPr>
      <w:r w:rsidRPr="00080DDB">
        <w:rPr>
          <w:rStyle w:val="FootnoteReference"/>
          <w:rFonts w:ascii="Times New Roman" w:eastAsia="Calibri" w:hAnsi="Times New Roman"/>
          <w:sz w:val="16"/>
          <w:szCs w:val="16"/>
        </w:rPr>
        <w:footnoteRef/>
      </w:r>
      <w:r w:rsidRPr="00080DDB">
        <w:rPr>
          <w:rFonts w:ascii="Times New Roman" w:hAnsi="Times New Roman"/>
          <w:sz w:val="16"/>
          <w:szCs w:val="16"/>
        </w:rPr>
        <w:t xml:space="preserve"> </w:t>
      </w:r>
      <w:hyperlink r:id="rId6" w:history="1">
        <w:r w:rsidRPr="00080DDB">
          <w:rPr>
            <w:rStyle w:val="Hyperlink"/>
            <w:rFonts w:ascii="Times New Roman" w:hAnsi="Times New Roman"/>
            <w:sz w:val="16"/>
            <w:szCs w:val="16"/>
          </w:rPr>
          <w:t>UNDP report on Gender Equality in Elections in Moldova</w:t>
        </w:r>
      </w:hyperlink>
      <w:r>
        <w:rPr>
          <w:rStyle w:val="Hyperlink"/>
          <w:rFonts w:ascii="Times New Roman" w:hAnsi="Times New Roman"/>
          <w:sz w:val="16"/>
          <w:szCs w:val="16"/>
        </w:rPr>
        <w:t>.</w:t>
      </w:r>
    </w:p>
  </w:footnote>
  <w:footnote w:id="12">
    <w:p w14:paraId="0CB9AC7D" w14:textId="13C2C82A" w:rsidR="00FE35E8" w:rsidRPr="00080DDB" w:rsidRDefault="00FE35E8" w:rsidP="0025412E">
      <w:pPr>
        <w:pStyle w:val="FootnoteText"/>
        <w:rPr>
          <w:rFonts w:ascii="Times New Roman" w:hAnsi="Times New Roman"/>
          <w:sz w:val="16"/>
          <w:szCs w:val="16"/>
        </w:rPr>
      </w:pPr>
      <w:r w:rsidRPr="00080DDB">
        <w:rPr>
          <w:rStyle w:val="FootnoteReference"/>
          <w:rFonts w:ascii="Times New Roman" w:hAnsi="Times New Roman"/>
          <w:sz w:val="16"/>
          <w:szCs w:val="16"/>
        </w:rPr>
        <w:footnoteRef/>
      </w:r>
      <w:hyperlink r:id="rId7" w:history="1">
        <w:r w:rsidRPr="00080DDB">
          <w:rPr>
            <w:rStyle w:val="Hyperlink"/>
            <w:rFonts w:ascii="Times New Roman" w:hAnsi="Times New Roman"/>
            <w:sz w:val="16"/>
            <w:szCs w:val="16"/>
          </w:rPr>
          <w:t>Comparative study on the Phenomenon of Discrimination in Moldova</w:t>
        </w:r>
      </w:hyperlink>
      <w:r w:rsidRPr="00080DDB">
        <w:rPr>
          <w:rFonts w:ascii="Times New Roman" w:hAnsi="Times New Roman"/>
          <w:sz w:val="16"/>
          <w:szCs w:val="16"/>
        </w:rPr>
        <w:t>, 2015</w:t>
      </w:r>
      <w:r>
        <w:rPr>
          <w:rFonts w:ascii="Times New Roman" w:hAnsi="Times New Roman"/>
          <w:sz w:val="16"/>
          <w:szCs w:val="16"/>
        </w:rPr>
        <w:t>.</w:t>
      </w:r>
      <w:r w:rsidRPr="00080DDB">
        <w:rPr>
          <w:rFonts w:ascii="Times New Roman" w:hAnsi="Times New Roman"/>
          <w:sz w:val="16"/>
          <w:szCs w:val="16"/>
        </w:rPr>
        <w:t xml:space="preserve"> </w:t>
      </w:r>
    </w:p>
  </w:footnote>
  <w:footnote w:id="13">
    <w:p w14:paraId="4A1AED5C" w14:textId="77777777" w:rsidR="00FE35E8" w:rsidRPr="00502832" w:rsidRDefault="00FE35E8" w:rsidP="0025412E">
      <w:pPr>
        <w:pStyle w:val="FootnoteText"/>
        <w:rPr>
          <w:rFonts w:ascii="Times New Roman" w:hAnsi="Times New Roman"/>
          <w:sz w:val="16"/>
          <w:szCs w:val="16"/>
        </w:rPr>
      </w:pPr>
      <w:r w:rsidRPr="00080DDB">
        <w:rPr>
          <w:rStyle w:val="FootnoteReference"/>
          <w:rFonts w:ascii="Times New Roman" w:eastAsia="Calibri" w:hAnsi="Times New Roman"/>
          <w:sz w:val="16"/>
          <w:szCs w:val="16"/>
        </w:rPr>
        <w:footnoteRef/>
      </w:r>
      <w:r w:rsidRPr="00080DDB">
        <w:rPr>
          <w:rFonts w:ascii="Times New Roman" w:hAnsi="Times New Roman"/>
          <w:sz w:val="16"/>
          <w:szCs w:val="16"/>
        </w:rPr>
        <w:t xml:space="preserve"> </w:t>
      </w:r>
      <w:hyperlink r:id="rId8" w:history="1">
        <w:r w:rsidRPr="00080DDB">
          <w:rPr>
            <w:rStyle w:val="Hyperlink"/>
            <w:rFonts w:ascii="Times New Roman" w:hAnsi="Times New Roman"/>
            <w:sz w:val="16"/>
            <w:szCs w:val="16"/>
          </w:rPr>
          <w:t>National Strategy for Gender Equality 2016–2020</w:t>
        </w:r>
      </w:hyperlink>
      <w:r w:rsidRPr="00080DDB">
        <w:rPr>
          <w:rFonts w:ascii="Times New Roman" w:hAnsi="Times New Roman"/>
          <w:sz w:val="16"/>
          <w:szCs w:val="16"/>
        </w:rPr>
        <w:t>.</w:t>
      </w:r>
    </w:p>
  </w:footnote>
  <w:footnote w:id="14">
    <w:p w14:paraId="0610B3DF" w14:textId="7480E563" w:rsidR="00FE35E8" w:rsidRDefault="00FE35E8">
      <w:pPr>
        <w:pStyle w:val="FootnoteText"/>
      </w:pPr>
      <w:r w:rsidRPr="00FB258B">
        <w:rPr>
          <w:rStyle w:val="FootnoteReference"/>
          <w:rFonts w:ascii="Times New Roman" w:hAnsi="Times New Roman"/>
          <w:sz w:val="16"/>
        </w:rPr>
        <w:footnoteRef/>
      </w:r>
      <w:r w:rsidRPr="00FB258B">
        <w:rPr>
          <w:rFonts w:ascii="Times New Roman" w:hAnsi="Times New Roman"/>
          <w:sz w:val="16"/>
        </w:rPr>
        <w:t xml:space="preserve"> </w:t>
      </w:r>
      <w:r w:rsidRPr="00FD7271">
        <w:rPr>
          <w:rFonts w:ascii="Times New Roman" w:hAnsi="Times New Roman"/>
          <w:sz w:val="16"/>
          <w:szCs w:val="16"/>
        </w:rPr>
        <w:t>National Green House Gas Inventory Report</w:t>
      </w:r>
      <w:r>
        <w:rPr>
          <w:rFonts w:ascii="Times New Roman" w:hAnsi="Times New Roman"/>
          <w:sz w:val="16"/>
          <w:szCs w:val="16"/>
        </w:rPr>
        <w:t xml:space="preserve"> </w:t>
      </w:r>
      <w:r w:rsidRPr="00FD7271">
        <w:rPr>
          <w:rFonts w:ascii="Times New Roman" w:hAnsi="Times New Roman"/>
          <w:sz w:val="16"/>
          <w:szCs w:val="16"/>
        </w:rPr>
        <w:t>2013</w:t>
      </w:r>
      <w:r>
        <w:rPr>
          <w:rFonts w:ascii="Times New Roman" w:hAnsi="Times New Roman"/>
          <w:sz w:val="16"/>
          <w:szCs w:val="16"/>
        </w:rPr>
        <w:t>.</w:t>
      </w:r>
    </w:p>
  </w:footnote>
  <w:footnote w:id="15">
    <w:p w14:paraId="49D1367F" w14:textId="78162332" w:rsidR="00FE35E8" w:rsidRPr="00225570" w:rsidRDefault="00FE35E8" w:rsidP="00B538D2">
      <w:pPr>
        <w:pStyle w:val="FootnoteText"/>
        <w:rPr>
          <w:rFonts w:ascii="Times New Roman" w:hAnsi="Times New Roman"/>
          <w:sz w:val="16"/>
          <w:szCs w:val="16"/>
        </w:rPr>
      </w:pPr>
      <w:r w:rsidRPr="005B025E">
        <w:rPr>
          <w:rFonts w:ascii="Times New Roman" w:hAnsi="Times New Roman"/>
          <w:sz w:val="16"/>
          <w:szCs w:val="16"/>
        </w:rPr>
        <w:footnoteRef/>
      </w:r>
      <w:r w:rsidRPr="005B025E">
        <w:rPr>
          <w:rFonts w:ascii="Times New Roman" w:hAnsi="Times New Roman"/>
          <w:sz w:val="16"/>
          <w:szCs w:val="16"/>
        </w:rPr>
        <w:t xml:space="preserve"> Environme</w:t>
      </w:r>
      <w:r w:rsidRPr="00225570">
        <w:rPr>
          <w:rFonts w:ascii="Times New Roman" w:hAnsi="Times New Roman"/>
          <w:sz w:val="16"/>
          <w:szCs w:val="16"/>
        </w:rPr>
        <w:t>ntal Strategy 2014-</w:t>
      </w:r>
      <w:r w:rsidR="00BE51E5" w:rsidRPr="00225570">
        <w:rPr>
          <w:rFonts w:ascii="Times New Roman" w:hAnsi="Times New Roman"/>
          <w:sz w:val="16"/>
          <w:szCs w:val="16"/>
        </w:rPr>
        <w:t>2023.</w:t>
      </w:r>
    </w:p>
  </w:footnote>
  <w:footnote w:id="16">
    <w:p w14:paraId="5D33F7BC" w14:textId="21D45516" w:rsidR="00FE35E8" w:rsidRPr="007A55B3" w:rsidRDefault="00FE35E8" w:rsidP="00761BF3">
      <w:pPr>
        <w:pStyle w:val="FootnoteText"/>
        <w:rPr>
          <w:rFonts w:ascii="Times New Roman" w:hAnsi="Times New Roman"/>
          <w:sz w:val="16"/>
          <w:szCs w:val="16"/>
        </w:rPr>
      </w:pPr>
      <w:r w:rsidRPr="007A55B3">
        <w:rPr>
          <w:rStyle w:val="FootnoteReference"/>
          <w:rFonts w:ascii="Times New Roman" w:hAnsi="Times New Roman"/>
          <w:sz w:val="16"/>
          <w:szCs w:val="16"/>
        </w:rPr>
        <w:footnoteRef/>
      </w:r>
      <w:r w:rsidRPr="007A55B3">
        <w:rPr>
          <w:rFonts w:ascii="Times New Roman" w:hAnsi="Times New Roman"/>
          <w:sz w:val="16"/>
          <w:szCs w:val="16"/>
        </w:rPr>
        <w:t xml:space="preserve"> Final Evaluation of U</w:t>
      </w:r>
      <w:r>
        <w:rPr>
          <w:rFonts w:ascii="Times New Roman" w:hAnsi="Times New Roman"/>
          <w:sz w:val="16"/>
          <w:szCs w:val="16"/>
        </w:rPr>
        <w:t xml:space="preserve">nited </w:t>
      </w:r>
      <w:r w:rsidRPr="007A55B3">
        <w:rPr>
          <w:rFonts w:ascii="Times New Roman" w:hAnsi="Times New Roman"/>
          <w:sz w:val="16"/>
          <w:szCs w:val="16"/>
        </w:rPr>
        <w:t>N</w:t>
      </w:r>
      <w:r>
        <w:rPr>
          <w:rFonts w:ascii="Times New Roman" w:hAnsi="Times New Roman"/>
          <w:sz w:val="16"/>
          <w:szCs w:val="16"/>
        </w:rPr>
        <w:t>ations</w:t>
      </w:r>
      <w:r w:rsidRPr="007A55B3">
        <w:rPr>
          <w:rFonts w:ascii="Times New Roman" w:hAnsi="Times New Roman"/>
          <w:sz w:val="16"/>
          <w:szCs w:val="16"/>
        </w:rPr>
        <w:t>-R</w:t>
      </w:r>
      <w:r>
        <w:rPr>
          <w:rFonts w:ascii="Times New Roman" w:hAnsi="Times New Roman"/>
          <w:sz w:val="16"/>
          <w:szCs w:val="16"/>
        </w:rPr>
        <w:t>epublic of Moldova</w:t>
      </w:r>
      <w:r w:rsidRPr="007A55B3">
        <w:rPr>
          <w:rFonts w:ascii="Times New Roman" w:hAnsi="Times New Roman"/>
          <w:sz w:val="16"/>
          <w:szCs w:val="16"/>
        </w:rPr>
        <w:t xml:space="preserve"> Partne</w:t>
      </w:r>
      <w:r>
        <w:rPr>
          <w:rFonts w:ascii="Times New Roman" w:hAnsi="Times New Roman"/>
          <w:sz w:val="16"/>
          <w:szCs w:val="16"/>
        </w:rPr>
        <w:t>rship Framework 2013-2017.</w:t>
      </w:r>
    </w:p>
  </w:footnote>
  <w:footnote w:id="17">
    <w:p w14:paraId="2DB3CF13" w14:textId="1F2A0CE2" w:rsidR="00FE35E8" w:rsidRPr="00AE3AFB" w:rsidRDefault="00FE35E8" w:rsidP="00761BF3">
      <w:pPr>
        <w:pStyle w:val="FootnoteText"/>
        <w:rPr>
          <w:rFonts w:ascii="Times New Roman" w:hAnsi="Times New Roman"/>
          <w:sz w:val="16"/>
          <w:szCs w:val="16"/>
        </w:rPr>
      </w:pPr>
      <w:r w:rsidRPr="00502832">
        <w:rPr>
          <w:rStyle w:val="FootnoteReference"/>
          <w:rFonts w:ascii="Times New Roman" w:hAnsi="Times New Roman"/>
          <w:sz w:val="16"/>
          <w:szCs w:val="16"/>
        </w:rPr>
        <w:footnoteRef/>
      </w:r>
      <w:r w:rsidRPr="00502832">
        <w:rPr>
          <w:rFonts w:ascii="Times New Roman" w:hAnsi="Times New Roman"/>
          <w:sz w:val="16"/>
          <w:szCs w:val="16"/>
        </w:rPr>
        <w:t xml:space="preserve"> EU </w:t>
      </w:r>
      <w:r w:rsidRPr="00AE3AFB">
        <w:rPr>
          <w:rFonts w:ascii="Times New Roman" w:hAnsi="Times New Roman"/>
          <w:sz w:val="16"/>
          <w:szCs w:val="16"/>
        </w:rPr>
        <w:t>Impact Assessment</w:t>
      </w:r>
      <w:r>
        <w:rPr>
          <w:rFonts w:ascii="Times New Roman" w:hAnsi="Times New Roman"/>
          <w:sz w:val="16"/>
          <w:szCs w:val="16"/>
        </w:rPr>
        <w:t xml:space="preserve"> on Confidence Building Measures in Moldova</w:t>
      </w:r>
      <w:r w:rsidRPr="00AE3AFB">
        <w:rPr>
          <w:rFonts w:ascii="Times New Roman" w:hAnsi="Times New Roman"/>
          <w:sz w:val="16"/>
          <w:szCs w:val="16"/>
        </w:rPr>
        <w:t>, 2015.</w:t>
      </w:r>
    </w:p>
  </w:footnote>
  <w:footnote w:id="18">
    <w:p w14:paraId="7514FA8B" w14:textId="77777777" w:rsidR="00FE35E8" w:rsidRPr="004550F3" w:rsidRDefault="00FE35E8" w:rsidP="009708B1">
      <w:pPr>
        <w:pStyle w:val="FootnoteText"/>
        <w:rPr>
          <w:rFonts w:ascii="Times New Roman" w:hAnsi="Times New Roman"/>
          <w:sz w:val="16"/>
          <w:szCs w:val="16"/>
        </w:rPr>
      </w:pPr>
      <w:r w:rsidRPr="004550F3">
        <w:rPr>
          <w:rStyle w:val="FootnoteReference"/>
          <w:rFonts w:ascii="Times New Roman" w:hAnsi="Times New Roman"/>
          <w:sz w:val="16"/>
          <w:szCs w:val="16"/>
        </w:rPr>
        <w:footnoteRef/>
      </w:r>
      <w:r w:rsidRPr="004550F3">
        <w:rPr>
          <w:rFonts w:ascii="Times New Roman" w:hAnsi="Times New Roman"/>
          <w:sz w:val="16"/>
          <w:szCs w:val="16"/>
        </w:rPr>
        <w:t xml:space="preserve"> e.g. Police reform, public health system, justice system, etc.</w:t>
      </w:r>
    </w:p>
  </w:footnote>
  <w:footnote w:id="19">
    <w:p w14:paraId="090CA485" w14:textId="77777777" w:rsidR="00FE35E8" w:rsidRPr="005108DA" w:rsidRDefault="00FE35E8">
      <w:pPr>
        <w:pStyle w:val="FootnoteText"/>
        <w:rPr>
          <w:rFonts w:ascii="Times New Roman" w:hAnsi="Times New Roman"/>
          <w:sz w:val="16"/>
          <w:szCs w:val="16"/>
        </w:rPr>
      </w:pPr>
      <w:r w:rsidRPr="005108DA">
        <w:rPr>
          <w:rStyle w:val="FootnoteReference"/>
          <w:rFonts w:ascii="Times New Roman" w:hAnsi="Times New Roman"/>
          <w:sz w:val="16"/>
          <w:szCs w:val="16"/>
        </w:rPr>
        <w:footnoteRef/>
      </w:r>
      <w:r w:rsidRPr="005108DA">
        <w:rPr>
          <w:rFonts w:ascii="Times New Roman" w:hAnsi="Times New Roman"/>
          <w:sz w:val="16"/>
          <w:szCs w:val="16"/>
        </w:rPr>
        <w:t xml:space="preserve"> </w:t>
      </w:r>
      <w:r>
        <w:rPr>
          <w:rFonts w:ascii="Times New Roman" w:hAnsi="Times New Roman"/>
          <w:i/>
          <w:iCs/>
          <w:color w:val="0000FF"/>
          <w:sz w:val="16"/>
          <w:szCs w:val="16"/>
          <w:lang w:val="en-GB"/>
        </w:rPr>
        <w:t>IRRF</w:t>
      </w:r>
      <w:r w:rsidRPr="005108DA">
        <w:rPr>
          <w:rFonts w:ascii="Times New Roman" w:hAnsi="Times New Roman"/>
          <w:i/>
          <w:iCs/>
          <w:color w:val="0000FF"/>
          <w:sz w:val="16"/>
          <w:szCs w:val="16"/>
          <w:lang w:val="en-GB"/>
        </w:rPr>
        <w:t>2.1.1.A.1.1</w:t>
      </w:r>
    </w:p>
  </w:footnote>
  <w:footnote w:id="20">
    <w:p w14:paraId="45102934" w14:textId="5706FAE1" w:rsidR="00FE35E8" w:rsidRPr="00D51B79" w:rsidRDefault="00FE35E8" w:rsidP="005C1151">
      <w:pPr>
        <w:pStyle w:val="FootnoteText"/>
        <w:rPr>
          <w:rFonts w:ascii="Times New Roman" w:hAnsi="Times New Roman"/>
          <w:sz w:val="16"/>
          <w:szCs w:val="16"/>
          <w:lang w:val="en-GB"/>
        </w:rPr>
      </w:pPr>
      <w:r w:rsidRPr="00C5081F">
        <w:rPr>
          <w:rStyle w:val="FootnoteReference"/>
          <w:rFonts w:ascii="Times New Roman" w:hAnsi="Times New Roman"/>
          <w:sz w:val="16"/>
          <w:szCs w:val="16"/>
        </w:rPr>
        <w:footnoteRef/>
      </w:r>
      <w:r w:rsidRPr="00C5081F">
        <w:rPr>
          <w:rFonts w:ascii="Times New Roman" w:hAnsi="Times New Roman"/>
          <w:sz w:val="16"/>
          <w:szCs w:val="16"/>
        </w:rPr>
        <w:t xml:space="preserve"> </w:t>
      </w:r>
      <w:r w:rsidRPr="00C5081F">
        <w:rPr>
          <w:rFonts w:ascii="Times New Roman" w:hAnsi="Times New Roman"/>
          <w:sz w:val="16"/>
          <w:szCs w:val="16"/>
          <w:lang w:val="en-GB"/>
        </w:rPr>
        <w:t xml:space="preserve">Data for baseline are according to the initial review (2016) of availability and relevance of </w:t>
      </w:r>
      <w:r>
        <w:rPr>
          <w:rFonts w:ascii="Times New Roman" w:hAnsi="Times New Roman"/>
          <w:sz w:val="16"/>
          <w:szCs w:val="16"/>
          <w:lang w:val="en-GB"/>
        </w:rPr>
        <w:t>Sustainable Development Goal</w:t>
      </w:r>
      <w:r w:rsidRPr="00C5081F">
        <w:rPr>
          <w:rFonts w:ascii="Times New Roman" w:hAnsi="Times New Roman"/>
          <w:sz w:val="16"/>
          <w:szCs w:val="16"/>
          <w:lang w:val="en-GB"/>
        </w:rPr>
        <w:t xml:space="preserve"> indicators for </w:t>
      </w:r>
      <w:r>
        <w:rPr>
          <w:rFonts w:ascii="Times New Roman" w:hAnsi="Times New Roman"/>
          <w:sz w:val="16"/>
          <w:szCs w:val="16"/>
          <w:lang w:val="en-GB"/>
        </w:rPr>
        <w:t xml:space="preserve">Republic of </w:t>
      </w:r>
      <w:r w:rsidRPr="00C5081F">
        <w:rPr>
          <w:rFonts w:ascii="Times New Roman" w:hAnsi="Times New Roman"/>
          <w:sz w:val="16"/>
          <w:szCs w:val="16"/>
          <w:lang w:val="en-GB"/>
        </w:rPr>
        <w:t xml:space="preserve">Moldova. Figures will be updated in the </w:t>
      </w:r>
      <w:r>
        <w:rPr>
          <w:rFonts w:ascii="Times New Roman" w:hAnsi="Times New Roman"/>
          <w:sz w:val="16"/>
          <w:szCs w:val="16"/>
          <w:lang w:val="en-GB"/>
        </w:rPr>
        <w:t>a</w:t>
      </w:r>
      <w:r w:rsidRPr="00C5081F">
        <w:rPr>
          <w:rFonts w:ascii="Times New Roman" w:hAnsi="Times New Roman"/>
          <w:sz w:val="16"/>
          <w:szCs w:val="16"/>
          <w:lang w:val="en-GB"/>
        </w:rPr>
        <w:t xml:space="preserve">nnual </w:t>
      </w:r>
      <w:r>
        <w:rPr>
          <w:rFonts w:ascii="Times New Roman" w:hAnsi="Times New Roman"/>
          <w:sz w:val="16"/>
          <w:szCs w:val="16"/>
          <w:lang w:val="en-GB"/>
        </w:rPr>
        <w:t>r</w:t>
      </w:r>
      <w:r w:rsidRPr="00C5081F">
        <w:rPr>
          <w:rFonts w:ascii="Times New Roman" w:hAnsi="Times New Roman"/>
          <w:sz w:val="16"/>
          <w:szCs w:val="16"/>
          <w:lang w:val="en-GB"/>
        </w:rPr>
        <w:t xml:space="preserve">eviews of the </w:t>
      </w:r>
      <w:r>
        <w:rPr>
          <w:rFonts w:ascii="Times New Roman" w:hAnsi="Times New Roman"/>
          <w:sz w:val="16"/>
          <w:szCs w:val="16"/>
          <w:lang w:val="en-GB"/>
        </w:rPr>
        <w:t>UNDAF</w:t>
      </w:r>
      <w:r w:rsidRPr="00C5081F">
        <w:rPr>
          <w:rFonts w:ascii="Times New Roman" w:hAnsi="Times New Roman"/>
          <w:sz w:val="16"/>
          <w:szCs w:val="16"/>
          <w:lang w:val="en-GB"/>
        </w:rPr>
        <w:t xml:space="preserve"> when the </w:t>
      </w:r>
      <w:r>
        <w:rPr>
          <w:rFonts w:ascii="Times New Roman" w:hAnsi="Times New Roman"/>
          <w:sz w:val="16"/>
          <w:szCs w:val="16"/>
          <w:lang w:val="en-GB"/>
        </w:rPr>
        <w:t>Goals'</w:t>
      </w:r>
      <w:r w:rsidRPr="00C5081F">
        <w:rPr>
          <w:rFonts w:ascii="Times New Roman" w:hAnsi="Times New Roman"/>
          <w:sz w:val="16"/>
          <w:szCs w:val="16"/>
          <w:lang w:val="en-GB"/>
        </w:rPr>
        <w:t xml:space="preserve"> </w:t>
      </w:r>
      <w:r w:rsidRPr="005108DA">
        <w:rPr>
          <w:rFonts w:ascii="Times New Roman" w:hAnsi="Times New Roman"/>
          <w:sz w:val="16"/>
          <w:szCs w:val="16"/>
          <w:lang w:val="en-GB"/>
        </w:rPr>
        <w:t>nationali</w:t>
      </w:r>
      <w:r>
        <w:rPr>
          <w:rFonts w:ascii="Times New Roman" w:hAnsi="Times New Roman"/>
          <w:sz w:val="16"/>
          <w:szCs w:val="16"/>
          <w:lang w:val="en-GB"/>
        </w:rPr>
        <w:t>z</w:t>
      </w:r>
      <w:r w:rsidRPr="005108DA">
        <w:rPr>
          <w:rFonts w:ascii="Times New Roman" w:hAnsi="Times New Roman"/>
          <w:sz w:val="16"/>
          <w:szCs w:val="16"/>
          <w:lang w:val="en-GB"/>
        </w:rPr>
        <w:t>ation is completed (after March 2017).</w:t>
      </w:r>
    </w:p>
  </w:footnote>
  <w:footnote w:id="21">
    <w:p w14:paraId="18099426" w14:textId="77777777" w:rsidR="00FE35E8" w:rsidRDefault="00FE35E8">
      <w:pPr>
        <w:pStyle w:val="FootnoteText"/>
      </w:pPr>
      <w:r w:rsidRPr="00D51B79">
        <w:rPr>
          <w:rFonts w:ascii="Times New Roman" w:hAnsi="Times New Roman"/>
          <w:sz w:val="16"/>
          <w:szCs w:val="16"/>
          <w:lang w:val="en-GB"/>
        </w:rPr>
        <w:footnoteRef/>
      </w:r>
      <w:r w:rsidRPr="00D51B79">
        <w:rPr>
          <w:rFonts w:ascii="Times New Roman" w:hAnsi="Times New Roman"/>
          <w:sz w:val="16"/>
          <w:szCs w:val="16"/>
          <w:lang w:val="en-GB"/>
        </w:rPr>
        <w:t xml:space="preserve"> Roma women are proposed as a target group, given their specific marginalization, as outlined in the </w:t>
      </w:r>
      <w:r>
        <w:rPr>
          <w:rFonts w:ascii="Times New Roman" w:hAnsi="Times New Roman"/>
          <w:sz w:val="16"/>
          <w:szCs w:val="16"/>
          <w:lang w:val="en-GB"/>
        </w:rPr>
        <w:t>rationale.</w:t>
      </w:r>
    </w:p>
  </w:footnote>
  <w:footnote w:id="22">
    <w:p w14:paraId="42852AA1" w14:textId="77777777" w:rsidR="00FE35E8" w:rsidRDefault="00FE35E8">
      <w:pPr>
        <w:pStyle w:val="FootnoteText"/>
      </w:pPr>
      <w:r w:rsidRPr="005108DA">
        <w:rPr>
          <w:rStyle w:val="FootnoteReference"/>
          <w:rFonts w:ascii="Times New Roman" w:hAnsi="Times New Roman"/>
          <w:sz w:val="16"/>
          <w:szCs w:val="16"/>
        </w:rPr>
        <w:footnoteRef/>
      </w:r>
      <w:r w:rsidRPr="005108DA">
        <w:rPr>
          <w:rFonts w:ascii="Times New Roman" w:hAnsi="Times New Roman"/>
          <w:sz w:val="16"/>
          <w:szCs w:val="16"/>
        </w:rPr>
        <w:t xml:space="preserve"> </w:t>
      </w:r>
      <w:r w:rsidRPr="005108DA">
        <w:rPr>
          <w:rFonts w:ascii="Times New Roman" w:hAnsi="Times New Roman"/>
          <w:bCs/>
          <w:i/>
          <w:color w:val="0000FF"/>
          <w:sz w:val="16"/>
          <w:szCs w:val="16"/>
          <w:lang w:val="en-GB"/>
        </w:rPr>
        <w:t>IRRF4.4.2.A.1.1</w:t>
      </w:r>
    </w:p>
  </w:footnote>
  <w:footnote w:id="23">
    <w:p w14:paraId="09C13E81" w14:textId="77777777" w:rsidR="00FE35E8" w:rsidRPr="005108DA" w:rsidRDefault="00FE35E8">
      <w:pPr>
        <w:pStyle w:val="FootnoteText"/>
        <w:rPr>
          <w:rFonts w:ascii="Times New Roman" w:hAnsi="Times New Roman"/>
          <w:sz w:val="16"/>
          <w:szCs w:val="16"/>
        </w:rPr>
      </w:pPr>
      <w:r w:rsidRPr="005108DA">
        <w:rPr>
          <w:rStyle w:val="FootnoteReference"/>
          <w:rFonts w:ascii="Times New Roman" w:hAnsi="Times New Roman"/>
          <w:sz w:val="16"/>
          <w:szCs w:val="16"/>
        </w:rPr>
        <w:footnoteRef/>
      </w:r>
      <w:r w:rsidRPr="005108DA">
        <w:rPr>
          <w:rFonts w:ascii="Times New Roman" w:hAnsi="Times New Roman"/>
          <w:sz w:val="16"/>
          <w:szCs w:val="16"/>
        </w:rPr>
        <w:t xml:space="preserve"> </w:t>
      </w:r>
      <w:r w:rsidRPr="005108DA">
        <w:rPr>
          <w:rFonts w:ascii="Times New Roman" w:hAnsi="Times New Roman"/>
          <w:i/>
          <w:color w:val="0000FF"/>
          <w:sz w:val="16"/>
          <w:szCs w:val="16"/>
        </w:rPr>
        <w:t>IRRF1.1.2</w:t>
      </w:r>
    </w:p>
  </w:footnote>
  <w:footnote w:id="24">
    <w:p w14:paraId="55879070" w14:textId="77777777" w:rsidR="00FE35E8" w:rsidRPr="00182117" w:rsidRDefault="00FE35E8" w:rsidP="00A6622E">
      <w:pPr>
        <w:pStyle w:val="FootnoteText"/>
        <w:rPr>
          <w:rFonts w:ascii="Times New Roman" w:hAnsi="Times New Roman"/>
        </w:rPr>
      </w:pPr>
      <w:r w:rsidRPr="00CD47C0">
        <w:rPr>
          <w:rStyle w:val="FootnoteReference"/>
          <w:rFonts w:ascii="Times New Roman" w:hAnsi="Times New Roman"/>
          <w:sz w:val="16"/>
          <w:szCs w:val="16"/>
        </w:rPr>
        <w:footnoteRef/>
      </w:r>
      <w:r w:rsidRPr="00CD47C0">
        <w:rPr>
          <w:rFonts w:ascii="Times New Roman" w:hAnsi="Times New Roman"/>
          <w:sz w:val="16"/>
          <w:szCs w:val="16"/>
        </w:rPr>
        <w:t xml:space="preserve"> ‘</w:t>
      </w:r>
      <w:r>
        <w:rPr>
          <w:rFonts w:ascii="Times New Roman" w:hAnsi="Times New Roman"/>
          <w:sz w:val="16"/>
          <w:szCs w:val="16"/>
        </w:rPr>
        <w:t>P</w:t>
      </w:r>
      <w:r w:rsidRPr="00CD47C0">
        <w:rPr>
          <w:rFonts w:ascii="Times New Roman" w:hAnsi="Times New Roman"/>
          <w:sz w:val="16"/>
          <w:szCs w:val="16"/>
        </w:rPr>
        <w:t>artnerships’ a</w:t>
      </w:r>
      <w:r>
        <w:rPr>
          <w:rFonts w:ascii="Times New Roman" w:hAnsi="Times New Roman"/>
          <w:sz w:val="16"/>
          <w:szCs w:val="16"/>
        </w:rPr>
        <w:t xml:space="preserve">re understood both as </w:t>
      </w:r>
      <w:r w:rsidRPr="00CD47C0">
        <w:rPr>
          <w:rFonts w:ascii="Times New Roman" w:hAnsi="Times New Roman"/>
          <w:sz w:val="16"/>
          <w:szCs w:val="16"/>
        </w:rPr>
        <w:t xml:space="preserve">collaborative and transactional relationships as per the </w:t>
      </w:r>
      <w:r>
        <w:rPr>
          <w:rFonts w:ascii="Times New Roman" w:hAnsi="Times New Roman"/>
          <w:sz w:val="16"/>
          <w:szCs w:val="16"/>
        </w:rPr>
        <w:t xml:space="preserve">UNDP </w:t>
      </w:r>
      <w:r w:rsidRPr="00CD47C0">
        <w:rPr>
          <w:rFonts w:ascii="Times New Roman" w:hAnsi="Times New Roman"/>
          <w:sz w:val="16"/>
          <w:szCs w:val="16"/>
        </w:rPr>
        <w:t xml:space="preserve">Partnership Development Handbook </w:t>
      </w:r>
    </w:p>
  </w:footnote>
  <w:footnote w:id="25">
    <w:p w14:paraId="4CBCEDA8" w14:textId="77777777" w:rsidR="00FE35E8" w:rsidRPr="005108DA" w:rsidRDefault="00FE35E8">
      <w:pPr>
        <w:pStyle w:val="FootnoteText"/>
        <w:rPr>
          <w:rFonts w:ascii="Times New Roman" w:hAnsi="Times New Roman"/>
          <w:sz w:val="16"/>
          <w:szCs w:val="16"/>
        </w:rPr>
      </w:pPr>
      <w:r w:rsidRPr="005108DA">
        <w:rPr>
          <w:rStyle w:val="FootnoteReference"/>
          <w:rFonts w:ascii="Times New Roman" w:hAnsi="Times New Roman"/>
          <w:sz w:val="16"/>
          <w:szCs w:val="16"/>
        </w:rPr>
        <w:footnoteRef/>
      </w:r>
      <w:r w:rsidRPr="005108DA">
        <w:rPr>
          <w:rFonts w:ascii="Times New Roman" w:hAnsi="Times New Roman"/>
          <w:sz w:val="16"/>
          <w:szCs w:val="16"/>
        </w:rPr>
        <w:t xml:space="preserve"> </w:t>
      </w:r>
      <w:r>
        <w:rPr>
          <w:rFonts w:ascii="Times New Roman" w:hAnsi="Times New Roman"/>
          <w:i/>
          <w:color w:val="0000FF"/>
          <w:sz w:val="16"/>
          <w:szCs w:val="16"/>
        </w:rPr>
        <w:t>IRRF</w:t>
      </w:r>
      <w:r w:rsidRPr="005108DA">
        <w:rPr>
          <w:rFonts w:ascii="Times New Roman" w:hAnsi="Times New Roman"/>
          <w:i/>
          <w:color w:val="0000FF"/>
          <w:sz w:val="16"/>
          <w:szCs w:val="16"/>
        </w:rPr>
        <w:t>1.1.1.B</w:t>
      </w:r>
    </w:p>
  </w:footnote>
  <w:footnote w:id="26">
    <w:p w14:paraId="06F61F20" w14:textId="77777777" w:rsidR="00FE35E8" w:rsidRPr="005108DA" w:rsidRDefault="00FE35E8">
      <w:pPr>
        <w:pStyle w:val="FootnoteText"/>
        <w:rPr>
          <w:rFonts w:ascii="Times New Roman" w:hAnsi="Times New Roman"/>
          <w:sz w:val="16"/>
          <w:szCs w:val="16"/>
        </w:rPr>
      </w:pPr>
      <w:r w:rsidRPr="005108DA">
        <w:rPr>
          <w:rStyle w:val="FootnoteReference"/>
          <w:rFonts w:ascii="Times New Roman" w:hAnsi="Times New Roman"/>
          <w:sz w:val="16"/>
          <w:szCs w:val="16"/>
        </w:rPr>
        <w:footnoteRef/>
      </w:r>
      <w:r w:rsidRPr="005108DA">
        <w:rPr>
          <w:rFonts w:ascii="Times New Roman" w:hAnsi="Times New Roman"/>
          <w:sz w:val="16"/>
          <w:szCs w:val="16"/>
        </w:rPr>
        <w:t xml:space="preserve"> </w:t>
      </w:r>
      <w:r>
        <w:rPr>
          <w:rFonts w:ascii="Times New Roman" w:hAnsi="Times New Roman"/>
          <w:i/>
          <w:color w:val="0000FF"/>
          <w:sz w:val="16"/>
          <w:szCs w:val="16"/>
        </w:rPr>
        <w:t>IRRF1.1.1.A</w:t>
      </w:r>
    </w:p>
  </w:footnote>
  <w:footnote w:id="27">
    <w:p w14:paraId="2B14C0FA" w14:textId="77777777" w:rsidR="00FE35E8" w:rsidRPr="005108DA" w:rsidRDefault="00FE35E8" w:rsidP="005108DA">
      <w:pPr>
        <w:jc w:val="both"/>
        <w:rPr>
          <w:i/>
          <w:color w:val="0000FF"/>
          <w:sz w:val="16"/>
          <w:szCs w:val="16"/>
        </w:rPr>
      </w:pPr>
      <w:r w:rsidRPr="005108DA">
        <w:rPr>
          <w:rStyle w:val="FootnoteReference"/>
          <w:sz w:val="16"/>
          <w:szCs w:val="16"/>
        </w:rPr>
        <w:footnoteRef/>
      </w:r>
      <w:r w:rsidRPr="005108DA">
        <w:rPr>
          <w:sz w:val="16"/>
          <w:szCs w:val="16"/>
        </w:rPr>
        <w:t xml:space="preserve"> </w:t>
      </w:r>
      <w:r>
        <w:rPr>
          <w:i/>
          <w:color w:val="0000FF"/>
          <w:sz w:val="16"/>
          <w:szCs w:val="16"/>
        </w:rPr>
        <w:t>IRRF 3.2.2</w:t>
      </w:r>
    </w:p>
  </w:footnote>
  <w:footnote w:id="28">
    <w:p w14:paraId="563C130E" w14:textId="433AE430" w:rsidR="00FE35E8" w:rsidRPr="00CD47C0" w:rsidRDefault="00FE35E8">
      <w:pPr>
        <w:pStyle w:val="FootnoteText"/>
        <w:rPr>
          <w:rFonts w:ascii="Times New Roman" w:hAnsi="Times New Roman"/>
          <w:sz w:val="16"/>
          <w:szCs w:val="16"/>
        </w:rPr>
      </w:pPr>
      <w:r>
        <w:rPr>
          <w:rStyle w:val="FootnoteReference"/>
        </w:rPr>
        <w:footnoteRef/>
      </w:r>
      <w:r w:rsidRPr="001B768A">
        <w:rPr>
          <w:rFonts w:ascii="Times New Roman" w:hAnsi="Times New Roman"/>
          <w:sz w:val="16"/>
          <w:szCs w:val="16"/>
        </w:rPr>
        <w:t>T</w:t>
      </w:r>
      <w:r>
        <w:rPr>
          <w:rFonts w:ascii="Times New Roman" w:hAnsi="Times New Roman"/>
          <w:sz w:val="16"/>
          <w:szCs w:val="16"/>
        </w:rPr>
        <w:t>o</w:t>
      </w:r>
      <w:r w:rsidRPr="001B768A">
        <w:rPr>
          <w:rFonts w:ascii="Times New Roman" w:hAnsi="Times New Roman"/>
          <w:sz w:val="16"/>
          <w:szCs w:val="16"/>
        </w:rPr>
        <w:t xml:space="preserve"> b</w:t>
      </w:r>
      <w:r>
        <w:rPr>
          <w:rFonts w:ascii="Times New Roman" w:hAnsi="Times New Roman"/>
          <w:sz w:val="16"/>
          <w:szCs w:val="16"/>
        </w:rPr>
        <w:t>e established based on national</w:t>
      </w:r>
      <w:r w:rsidRPr="001B768A">
        <w:rPr>
          <w:rFonts w:ascii="Times New Roman" w:hAnsi="Times New Roman"/>
          <w:sz w:val="16"/>
          <w:szCs w:val="16"/>
        </w:rPr>
        <w:t xml:space="preserve"> reports that can credibly prove the connection between the improved services available </w:t>
      </w:r>
      <w:r>
        <w:rPr>
          <w:rFonts w:ascii="Times New Roman" w:hAnsi="Times New Roman"/>
          <w:sz w:val="16"/>
          <w:szCs w:val="16"/>
        </w:rPr>
        <w:t xml:space="preserve">locally and the created jobs </w:t>
      </w:r>
    </w:p>
  </w:footnote>
  <w:footnote w:id="29">
    <w:p w14:paraId="59B3F0ED" w14:textId="77777777" w:rsidR="00FE35E8" w:rsidRPr="005108DA" w:rsidRDefault="00FE35E8">
      <w:pPr>
        <w:pStyle w:val="FootnoteText"/>
        <w:rPr>
          <w:rFonts w:ascii="Times New Roman" w:hAnsi="Times New Roman"/>
          <w:sz w:val="16"/>
          <w:szCs w:val="16"/>
        </w:rPr>
      </w:pPr>
      <w:r w:rsidRPr="005108DA">
        <w:rPr>
          <w:rStyle w:val="FootnoteReference"/>
          <w:rFonts w:ascii="Times New Roman" w:hAnsi="Times New Roman"/>
          <w:sz w:val="16"/>
          <w:szCs w:val="16"/>
        </w:rPr>
        <w:footnoteRef/>
      </w:r>
      <w:r w:rsidRPr="005108DA">
        <w:rPr>
          <w:rFonts w:ascii="Times New Roman" w:hAnsi="Times New Roman"/>
          <w:sz w:val="16"/>
          <w:szCs w:val="16"/>
        </w:rPr>
        <w:t xml:space="preserve"> </w:t>
      </w:r>
      <w:r w:rsidRPr="005108DA">
        <w:rPr>
          <w:rFonts w:ascii="Times New Roman" w:hAnsi="Times New Roman"/>
          <w:iCs/>
          <w:sz w:val="16"/>
          <w:szCs w:val="16"/>
          <w:lang w:val="en-GB"/>
        </w:rPr>
        <w:t xml:space="preserve">IRRF 1.5.2, </w:t>
      </w:r>
      <w:r w:rsidRPr="005108DA">
        <w:rPr>
          <w:rFonts w:ascii="Times New Roman" w:hAnsi="Times New Roman"/>
          <w:i/>
          <w:iCs/>
          <w:color w:val="0000FF"/>
          <w:sz w:val="16"/>
          <w:szCs w:val="16"/>
          <w:lang w:val="en-GB"/>
        </w:rPr>
        <w:t>cumulative since 2011</w:t>
      </w:r>
    </w:p>
  </w:footnote>
  <w:footnote w:id="30">
    <w:p w14:paraId="672EA310" w14:textId="4BC3656D" w:rsidR="00FE35E8" w:rsidRPr="005108DA" w:rsidRDefault="00FE35E8">
      <w:pPr>
        <w:pStyle w:val="FootnoteText"/>
        <w:rPr>
          <w:rFonts w:ascii="Times New Roman" w:hAnsi="Times New Roman"/>
          <w:sz w:val="16"/>
          <w:szCs w:val="16"/>
        </w:rPr>
      </w:pPr>
      <w:r w:rsidRPr="005108DA">
        <w:rPr>
          <w:rStyle w:val="FootnoteReference"/>
          <w:rFonts w:ascii="Times New Roman" w:hAnsi="Times New Roman"/>
          <w:sz w:val="16"/>
          <w:szCs w:val="16"/>
        </w:rPr>
        <w:footnoteRef/>
      </w:r>
      <w:r w:rsidRPr="005108DA">
        <w:rPr>
          <w:rFonts w:ascii="Times New Roman" w:hAnsi="Times New Roman"/>
          <w:sz w:val="16"/>
          <w:szCs w:val="16"/>
        </w:rPr>
        <w:t xml:space="preserve"> </w:t>
      </w:r>
      <w:r>
        <w:rPr>
          <w:rFonts w:ascii="Times New Roman" w:hAnsi="Times New Roman"/>
          <w:i/>
          <w:color w:val="0000FF"/>
          <w:sz w:val="16"/>
          <w:szCs w:val="16"/>
        </w:rPr>
        <w:t>IRRF5.2.1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E35E8" w:rsidRPr="00612DA4" w14:paraId="4B0235E5" w14:textId="77777777" w:rsidTr="00FE35E8">
      <w:trPr>
        <w:trHeight w:hRule="exact" w:val="864"/>
      </w:trPr>
      <w:tc>
        <w:tcPr>
          <w:tcW w:w="4838" w:type="dxa"/>
          <w:tcBorders>
            <w:bottom w:val="single" w:sz="4" w:space="0" w:color="auto"/>
          </w:tcBorders>
          <w:vAlign w:val="bottom"/>
        </w:tcPr>
        <w:p w14:paraId="5D593BD4" w14:textId="7E676B2A" w:rsidR="00FE35E8" w:rsidRPr="00612DA4" w:rsidRDefault="00FE35E8" w:rsidP="00FE35E8">
          <w:pPr>
            <w:widowControl w:val="0"/>
            <w:tabs>
              <w:tab w:val="center" w:pos="4320"/>
              <w:tab w:val="right" w:pos="8640"/>
            </w:tabs>
            <w:spacing w:after="80"/>
            <w:ind w:left="-1838" w:firstLine="1838"/>
            <w:rPr>
              <w:b/>
              <w:sz w:val="17"/>
              <w:szCs w:val="17"/>
            </w:rPr>
          </w:pPr>
          <w:r w:rsidRPr="00612DA4">
            <w:rPr>
              <w:b/>
              <w:sz w:val="17"/>
              <w:szCs w:val="17"/>
            </w:rPr>
            <w:t>DP/DCP/</w:t>
          </w:r>
          <w:r>
            <w:rPr>
              <w:b/>
              <w:sz w:val="17"/>
              <w:szCs w:val="17"/>
            </w:rPr>
            <w:t>MDA</w:t>
          </w:r>
          <w:r w:rsidRPr="00612DA4">
            <w:rPr>
              <w:b/>
              <w:sz w:val="17"/>
              <w:szCs w:val="17"/>
            </w:rPr>
            <w:t>/</w:t>
          </w:r>
          <w:r>
            <w:rPr>
              <w:b/>
              <w:sz w:val="17"/>
              <w:szCs w:val="17"/>
            </w:rPr>
            <w:t>3</w:t>
          </w:r>
        </w:p>
      </w:tc>
      <w:tc>
        <w:tcPr>
          <w:tcW w:w="5047" w:type="dxa"/>
          <w:tcBorders>
            <w:bottom w:val="single" w:sz="4" w:space="0" w:color="auto"/>
          </w:tcBorders>
          <w:vAlign w:val="bottom"/>
        </w:tcPr>
        <w:p w14:paraId="43591187" w14:textId="77777777" w:rsidR="00FE35E8" w:rsidRPr="00612DA4" w:rsidRDefault="00FE35E8" w:rsidP="00FE35E8">
          <w:pPr>
            <w:widowControl w:val="0"/>
            <w:tabs>
              <w:tab w:val="center" w:pos="4320"/>
              <w:tab w:val="right" w:pos="8640"/>
            </w:tabs>
            <w:rPr>
              <w:sz w:val="17"/>
              <w:szCs w:val="17"/>
            </w:rPr>
          </w:pPr>
        </w:p>
      </w:tc>
    </w:tr>
  </w:tbl>
  <w:p w14:paraId="6E6ADE05" w14:textId="77777777" w:rsidR="00FE35E8" w:rsidRDefault="00FE3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51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63A04" w:rsidRPr="00612DA4" w14:paraId="21C2038B" w14:textId="77777777" w:rsidTr="00863A04">
      <w:trPr>
        <w:trHeight w:hRule="exact" w:val="864"/>
      </w:trPr>
      <w:tc>
        <w:tcPr>
          <w:tcW w:w="4838" w:type="dxa"/>
          <w:tcBorders>
            <w:bottom w:val="single" w:sz="4" w:space="0" w:color="auto"/>
          </w:tcBorders>
          <w:vAlign w:val="bottom"/>
        </w:tcPr>
        <w:p w14:paraId="63F314AF" w14:textId="77777777" w:rsidR="00863A04" w:rsidRPr="00612DA4" w:rsidRDefault="00863A04" w:rsidP="00863A04">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7F6D5E27" w14:textId="69C73FCA" w:rsidR="00863A04" w:rsidRPr="00612DA4" w:rsidRDefault="00863A04" w:rsidP="00863A04">
          <w:pPr>
            <w:widowControl w:val="0"/>
            <w:tabs>
              <w:tab w:val="center" w:pos="4320"/>
              <w:tab w:val="right" w:pos="8640"/>
            </w:tabs>
            <w:jc w:val="right"/>
            <w:rPr>
              <w:sz w:val="17"/>
              <w:szCs w:val="17"/>
            </w:rPr>
          </w:pPr>
          <w:r>
            <w:rPr>
              <w:b/>
              <w:sz w:val="17"/>
              <w:szCs w:val="17"/>
            </w:rPr>
            <w:t>DP/DCP/MDA</w:t>
          </w:r>
          <w:r w:rsidRPr="00612DA4">
            <w:rPr>
              <w:b/>
              <w:sz w:val="17"/>
              <w:szCs w:val="17"/>
            </w:rPr>
            <w:t>/</w:t>
          </w:r>
          <w:r>
            <w:rPr>
              <w:b/>
              <w:sz w:val="17"/>
              <w:szCs w:val="17"/>
            </w:rPr>
            <w:t>3</w:t>
          </w:r>
        </w:p>
      </w:tc>
    </w:tr>
  </w:tbl>
  <w:p w14:paraId="30191375" w14:textId="77777777" w:rsidR="00FE35E8" w:rsidRDefault="00FE3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E35E8" w:rsidRPr="00612DA4" w14:paraId="03F4AF6D" w14:textId="77777777" w:rsidTr="00FE35E8">
      <w:trPr>
        <w:trHeight w:hRule="exact" w:val="864"/>
      </w:trPr>
      <w:tc>
        <w:tcPr>
          <w:tcW w:w="1267" w:type="dxa"/>
          <w:tcBorders>
            <w:bottom w:val="single" w:sz="4" w:space="0" w:color="auto"/>
          </w:tcBorders>
          <w:shd w:val="clear" w:color="auto" w:fill="auto"/>
          <w:vAlign w:val="bottom"/>
        </w:tcPr>
        <w:p w14:paraId="5917AC85" w14:textId="77777777" w:rsidR="00FE35E8" w:rsidRPr="00612DA4" w:rsidRDefault="00FE35E8" w:rsidP="00FE35E8">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C423DEF" w14:textId="77777777" w:rsidR="00FE35E8" w:rsidRPr="00612DA4" w:rsidRDefault="00FE35E8" w:rsidP="00FE35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612DA4">
            <w:rPr>
              <w:spacing w:val="2"/>
              <w:w w:val="96"/>
              <w:kern w:val="14"/>
              <w:sz w:val="28"/>
              <w:lang w:val="en-GB"/>
            </w:rPr>
            <w:t>United Nations</w:t>
          </w:r>
        </w:p>
      </w:tc>
      <w:tc>
        <w:tcPr>
          <w:tcW w:w="245" w:type="dxa"/>
          <w:tcBorders>
            <w:bottom w:val="single" w:sz="4" w:space="0" w:color="auto"/>
          </w:tcBorders>
          <w:shd w:val="clear" w:color="auto" w:fill="auto"/>
          <w:vAlign w:val="bottom"/>
        </w:tcPr>
        <w:p w14:paraId="144EEEF1" w14:textId="77777777" w:rsidR="00FE35E8" w:rsidRPr="00612DA4" w:rsidRDefault="00FE35E8" w:rsidP="00FE35E8">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3331436E" w14:textId="2C434FB7" w:rsidR="00FE35E8" w:rsidRPr="00612DA4" w:rsidRDefault="00FE35E8" w:rsidP="00FE35E8">
          <w:pPr>
            <w:suppressAutoHyphens/>
            <w:spacing w:after="80"/>
            <w:jc w:val="right"/>
            <w:rPr>
              <w:spacing w:val="4"/>
              <w:w w:val="103"/>
              <w:kern w:val="14"/>
              <w:position w:val="-4"/>
              <w:lang w:val="en-GB"/>
            </w:rPr>
          </w:pPr>
          <w:r w:rsidRPr="00612DA4">
            <w:rPr>
              <w:spacing w:val="4"/>
              <w:w w:val="103"/>
              <w:kern w:val="14"/>
              <w:position w:val="-4"/>
              <w:sz w:val="40"/>
              <w:lang w:val="en-GB"/>
            </w:rPr>
            <w:t>DP</w:t>
          </w:r>
          <w:r w:rsidRPr="00612DA4">
            <w:rPr>
              <w:spacing w:val="4"/>
              <w:w w:val="103"/>
              <w:kern w:val="14"/>
              <w:position w:val="-4"/>
              <w:lang w:val="en-GB"/>
            </w:rPr>
            <w:t>/DCP/</w:t>
          </w:r>
          <w:r>
            <w:rPr>
              <w:spacing w:val="4"/>
              <w:w w:val="103"/>
              <w:kern w:val="14"/>
              <w:position w:val="-4"/>
              <w:lang w:val="en-GB"/>
            </w:rPr>
            <w:t>MDA</w:t>
          </w:r>
          <w:r w:rsidRPr="00612DA4">
            <w:rPr>
              <w:spacing w:val="4"/>
              <w:w w:val="103"/>
              <w:kern w:val="14"/>
              <w:position w:val="-4"/>
              <w:lang w:val="en-GB"/>
            </w:rPr>
            <w:t>/</w:t>
          </w:r>
          <w:r>
            <w:rPr>
              <w:spacing w:val="4"/>
              <w:w w:val="103"/>
              <w:kern w:val="14"/>
              <w:position w:val="-4"/>
              <w:lang w:val="en-GB"/>
            </w:rPr>
            <w:t>3</w:t>
          </w:r>
        </w:p>
      </w:tc>
    </w:tr>
    <w:tr w:rsidR="00FE35E8" w:rsidRPr="00612DA4" w14:paraId="3F195511" w14:textId="77777777" w:rsidTr="00FE35E8">
      <w:trPr>
        <w:gridAfter w:val="1"/>
        <w:wAfter w:w="28" w:type="dxa"/>
        <w:trHeight w:hRule="exact" w:val="2880"/>
      </w:trPr>
      <w:tc>
        <w:tcPr>
          <w:tcW w:w="1267" w:type="dxa"/>
          <w:tcBorders>
            <w:top w:val="single" w:sz="4" w:space="0" w:color="auto"/>
            <w:bottom w:val="single" w:sz="12" w:space="0" w:color="auto"/>
          </w:tcBorders>
          <w:shd w:val="clear" w:color="auto" w:fill="auto"/>
        </w:tcPr>
        <w:p w14:paraId="5CFAA19E" w14:textId="77777777" w:rsidR="00FE35E8" w:rsidRPr="00612DA4" w:rsidRDefault="00FE35E8" w:rsidP="00FE35E8">
          <w:pPr>
            <w:tabs>
              <w:tab w:val="center" w:pos="4320"/>
              <w:tab w:val="right" w:pos="8640"/>
            </w:tabs>
            <w:spacing w:before="109"/>
            <w:rPr>
              <w:noProof/>
              <w:sz w:val="17"/>
            </w:rPr>
          </w:pPr>
          <w:r w:rsidRPr="00612DA4">
            <w:rPr>
              <w:noProof/>
              <w:sz w:val="17"/>
            </w:rPr>
            <w:t xml:space="preserve"> </w:t>
          </w:r>
          <w:r w:rsidRPr="00612DA4">
            <w:rPr>
              <w:noProof/>
              <w:sz w:val="17"/>
            </w:rPr>
            <w:drawing>
              <wp:inline distT="0" distB="0" distL="0" distR="0" wp14:anchorId="49E13C99" wp14:editId="60DEA819">
                <wp:extent cx="702945" cy="592455"/>
                <wp:effectExtent l="0" t="0" r="1905" b="0"/>
                <wp:docPr id="30" name="Picture 3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16170D02" w14:textId="77777777" w:rsidR="00FE35E8" w:rsidRPr="00612DA4" w:rsidRDefault="00FE35E8" w:rsidP="00FE35E8">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0D5ABAB4" w14:textId="77777777" w:rsidR="00FE35E8" w:rsidRPr="00612DA4" w:rsidRDefault="00FE35E8" w:rsidP="00FE35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612DA4">
            <w:rPr>
              <w:b/>
              <w:sz w:val="34"/>
            </w:rPr>
            <w:t>Executive Board of the</w:t>
          </w:r>
          <w:r w:rsidRPr="00612DA4">
            <w:rPr>
              <w:b/>
              <w:sz w:val="34"/>
            </w:rPr>
            <w:br/>
            <w:t>United Nations Development</w:t>
          </w:r>
          <w:r w:rsidRPr="00612DA4">
            <w:rPr>
              <w:b/>
              <w:sz w:val="34"/>
            </w:rPr>
            <w:br/>
            <w:t xml:space="preserve">Programme, the United Nations Population Fund and the </w:t>
          </w:r>
          <w:r w:rsidRPr="00612DA4">
            <w:rPr>
              <w:b/>
              <w:sz w:val="34"/>
            </w:rPr>
            <w:br/>
            <w:t xml:space="preserve">United Nations Office for </w:t>
          </w:r>
          <w:r w:rsidRPr="00612DA4">
            <w:rPr>
              <w:b/>
              <w:sz w:val="34"/>
            </w:rPr>
            <w:br/>
            <w:t>Project Services</w:t>
          </w:r>
        </w:p>
        <w:p w14:paraId="6CB94EF9" w14:textId="77777777" w:rsidR="00FE35E8" w:rsidRPr="00612DA4" w:rsidRDefault="00FE35E8" w:rsidP="00FE35E8">
          <w:pPr>
            <w:rPr>
              <w:sz w:val="34"/>
              <w:lang w:val="en-GB"/>
            </w:rPr>
          </w:pPr>
        </w:p>
        <w:p w14:paraId="1C17A085" w14:textId="77777777" w:rsidR="00FE35E8" w:rsidRPr="00612DA4" w:rsidRDefault="00FE35E8" w:rsidP="00FE35E8">
          <w:pPr>
            <w:ind w:firstLine="720"/>
            <w:rPr>
              <w:sz w:val="34"/>
              <w:lang w:val="en-GB"/>
            </w:rPr>
          </w:pPr>
        </w:p>
      </w:tc>
      <w:tc>
        <w:tcPr>
          <w:tcW w:w="245" w:type="dxa"/>
          <w:tcBorders>
            <w:top w:val="single" w:sz="4" w:space="0" w:color="auto"/>
            <w:bottom w:val="single" w:sz="12" w:space="0" w:color="auto"/>
          </w:tcBorders>
          <w:shd w:val="clear" w:color="auto" w:fill="auto"/>
        </w:tcPr>
        <w:p w14:paraId="5175BDBF" w14:textId="77777777" w:rsidR="00FE35E8" w:rsidRPr="00612DA4" w:rsidRDefault="00FE35E8" w:rsidP="00FE35E8">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2CFD2167" w14:textId="77777777" w:rsidR="00FE35E8" w:rsidRPr="00612DA4" w:rsidRDefault="00FE35E8" w:rsidP="00FE35E8">
          <w:pPr>
            <w:suppressAutoHyphens/>
            <w:spacing w:before="240" w:line="240" w:lineRule="exact"/>
            <w:rPr>
              <w:spacing w:val="4"/>
              <w:w w:val="103"/>
              <w:kern w:val="14"/>
              <w:lang w:val="en-GB"/>
            </w:rPr>
          </w:pPr>
          <w:r w:rsidRPr="00612DA4">
            <w:rPr>
              <w:spacing w:val="4"/>
              <w:w w:val="103"/>
              <w:kern w:val="14"/>
              <w:lang w:val="en-GB"/>
            </w:rPr>
            <w:t>Distr.: General</w:t>
          </w:r>
        </w:p>
        <w:p w14:paraId="05F73E2B" w14:textId="09DE361D" w:rsidR="00FE35E8" w:rsidRPr="00612DA4" w:rsidRDefault="00782ACA" w:rsidP="00FE35E8">
          <w:pPr>
            <w:suppressAutoHyphens/>
            <w:spacing w:line="240" w:lineRule="exact"/>
            <w:rPr>
              <w:spacing w:val="4"/>
              <w:w w:val="103"/>
              <w:kern w:val="14"/>
              <w:lang w:val="en-GB"/>
            </w:rPr>
          </w:pPr>
          <w:r>
            <w:rPr>
              <w:spacing w:val="4"/>
              <w:w w:val="103"/>
              <w:kern w:val="14"/>
              <w:lang w:val="en-GB"/>
            </w:rPr>
            <w:t>13</w:t>
          </w:r>
          <w:r w:rsidR="00FE35E8" w:rsidRPr="00612DA4">
            <w:rPr>
              <w:spacing w:val="4"/>
              <w:w w:val="103"/>
              <w:kern w:val="14"/>
              <w:lang w:val="en-GB"/>
            </w:rPr>
            <w:t xml:space="preserve"> </w:t>
          </w:r>
          <w:r>
            <w:rPr>
              <w:spacing w:val="4"/>
              <w:w w:val="103"/>
              <w:kern w:val="14"/>
              <w:lang w:val="en-GB"/>
            </w:rPr>
            <w:t>June</w:t>
          </w:r>
          <w:r w:rsidR="00FE35E8" w:rsidRPr="00612DA4">
            <w:rPr>
              <w:spacing w:val="4"/>
              <w:w w:val="103"/>
              <w:kern w:val="14"/>
              <w:lang w:val="en-GB"/>
            </w:rPr>
            <w:t xml:space="preserve"> 2017</w:t>
          </w:r>
        </w:p>
        <w:p w14:paraId="7918B19D" w14:textId="77777777" w:rsidR="00FE35E8" w:rsidRPr="00612DA4" w:rsidRDefault="00FE35E8" w:rsidP="00FE35E8">
          <w:pPr>
            <w:suppressAutoHyphens/>
            <w:spacing w:line="240" w:lineRule="exact"/>
            <w:rPr>
              <w:spacing w:val="4"/>
              <w:w w:val="103"/>
              <w:kern w:val="14"/>
              <w:lang w:val="en-GB"/>
            </w:rPr>
          </w:pPr>
        </w:p>
        <w:p w14:paraId="4362C481" w14:textId="77777777" w:rsidR="00FE35E8" w:rsidRPr="00612DA4" w:rsidRDefault="00FE35E8" w:rsidP="00FE35E8">
          <w:pPr>
            <w:suppressAutoHyphens/>
            <w:spacing w:line="240" w:lineRule="exact"/>
            <w:rPr>
              <w:spacing w:val="4"/>
              <w:w w:val="103"/>
              <w:kern w:val="14"/>
              <w:lang w:val="en-GB"/>
            </w:rPr>
          </w:pPr>
          <w:r w:rsidRPr="00612DA4">
            <w:rPr>
              <w:spacing w:val="4"/>
              <w:w w:val="103"/>
              <w:kern w:val="14"/>
              <w:lang w:val="en-GB"/>
            </w:rPr>
            <w:t>Original: English</w:t>
          </w:r>
        </w:p>
      </w:tc>
    </w:tr>
  </w:tbl>
  <w:p w14:paraId="66C91BCB" w14:textId="77777777" w:rsidR="00FE35E8" w:rsidRPr="00FE35E8" w:rsidRDefault="00FE35E8">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80"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742"/>
    </w:tblGrid>
    <w:tr w:rsidR="00863A04" w:rsidRPr="00612DA4" w14:paraId="65044609" w14:textId="77777777" w:rsidTr="008774A5">
      <w:trPr>
        <w:trHeight w:hRule="exact" w:val="864"/>
      </w:trPr>
      <w:tc>
        <w:tcPr>
          <w:tcW w:w="4838" w:type="dxa"/>
          <w:tcBorders>
            <w:bottom w:val="single" w:sz="4" w:space="0" w:color="auto"/>
          </w:tcBorders>
          <w:vAlign w:val="bottom"/>
        </w:tcPr>
        <w:p w14:paraId="205AA227" w14:textId="7132DCA3" w:rsidR="00863A04" w:rsidRPr="00612DA4" w:rsidRDefault="00863A04" w:rsidP="00863A04">
          <w:pPr>
            <w:widowControl w:val="0"/>
            <w:tabs>
              <w:tab w:val="center" w:pos="4320"/>
              <w:tab w:val="right" w:pos="8640"/>
            </w:tabs>
            <w:spacing w:after="80"/>
            <w:ind w:left="-1838" w:firstLine="1838"/>
            <w:rPr>
              <w:b/>
              <w:sz w:val="17"/>
              <w:szCs w:val="17"/>
            </w:rPr>
          </w:pPr>
          <w:r w:rsidRPr="00612DA4">
            <w:rPr>
              <w:b/>
              <w:sz w:val="17"/>
              <w:szCs w:val="17"/>
            </w:rPr>
            <w:t>DP/DCP/</w:t>
          </w:r>
          <w:r>
            <w:rPr>
              <w:b/>
              <w:sz w:val="17"/>
              <w:szCs w:val="17"/>
            </w:rPr>
            <w:t>MDA</w:t>
          </w:r>
          <w:r w:rsidRPr="00612DA4">
            <w:rPr>
              <w:b/>
              <w:sz w:val="17"/>
              <w:szCs w:val="17"/>
            </w:rPr>
            <w:t>/</w:t>
          </w:r>
          <w:r>
            <w:rPr>
              <w:b/>
              <w:sz w:val="17"/>
              <w:szCs w:val="17"/>
            </w:rPr>
            <w:t>3</w:t>
          </w:r>
        </w:p>
      </w:tc>
      <w:tc>
        <w:tcPr>
          <w:tcW w:w="9742" w:type="dxa"/>
          <w:tcBorders>
            <w:bottom w:val="single" w:sz="4" w:space="0" w:color="auto"/>
          </w:tcBorders>
          <w:vAlign w:val="bottom"/>
        </w:tcPr>
        <w:p w14:paraId="500B8543" w14:textId="77777777" w:rsidR="00863A04" w:rsidRPr="00612DA4" w:rsidRDefault="00863A04" w:rsidP="00863A04">
          <w:pPr>
            <w:widowControl w:val="0"/>
            <w:tabs>
              <w:tab w:val="center" w:pos="4320"/>
              <w:tab w:val="right" w:pos="8640"/>
            </w:tabs>
            <w:rPr>
              <w:sz w:val="17"/>
              <w:szCs w:val="17"/>
            </w:rPr>
          </w:pPr>
        </w:p>
      </w:tc>
    </w:tr>
  </w:tbl>
  <w:p w14:paraId="1490659B" w14:textId="402056AC" w:rsidR="00FE35E8" w:rsidRPr="00863A04" w:rsidRDefault="00FE35E8">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24F6" w14:textId="77777777" w:rsidR="00863A04" w:rsidRDefault="00863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174F"/>
    <w:multiLevelType w:val="hybridMultilevel"/>
    <w:tmpl w:val="A5A65AB2"/>
    <w:lvl w:ilvl="0" w:tplc="D696E7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6420"/>
    <w:multiLevelType w:val="hybridMultilevel"/>
    <w:tmpl w:val="ED4C377C"/>
    <w:lvl w:ilvl="0" w:tplc="EFF2CA3E">
      <w:start w:val="1"/>
      <w:numFmt w:val="bullet"/>
      <w:lvlText w:val="•"/>
      <w:lvlJc w:val="left"/>
      <w:pPr>
        <w:tabs>
          <w:tab w:val="num" w:pos="720"/>
        </w:tabs>
        <w:ind w:left="720" w:hanging="360"/>
      </w:pPr>
      <w:rPr>
        <w:rFonts w:ascii="Arial" w:hAnsi="Arial" w:hint="default"/>
      </w:rPr>
    </w:lvl>
    <w:lvl w:ilvl="1" w:tplc="53763012">
      <w:numFmt w:val="bullet"/>
      <w:lvlText w:val="–"/>
      <w:lvlJc w:val="left"/>
      <w:pPr>
        <w:tabs>
          <w:tab w:val="num" w:pos="1440"/>
        </w:tabs>
        <w:ind w:left="1440" w:hanging="360"/>
      </w:pPr>
      <w:rPr>
        <w:rFonts w:ascii="Arial" w:hAnsi="Arial" w:hint="default"/>
      </w:rPr>
    </w:lvl>
    <w:lvl w:ilvl="2" w:tplc="92343A72" w:tentative="1">
      <w:start w:val="1"/>
      <w:numFmt w:val="bullet"/>
      <w:lvlText w:val="•"/>
      <w:lvlJc w:val="left"/>
      <w:pPr>
        <w:tabs>
          <w:tab w:val="num" w:pos="2160"/>
        </w:tabs>
        <w:ind w:left="2160" w:hanging="360"/>
      </w:pPr>
      <w:rPr>
        <w:rFonts w:ascii="Arial" w:hAnsi="Arial" w:hint="default"/>
      </w:rPr>
    </w:lvl>
    <w:lvl w:ilvl="3" w:tplc="904ACEDA" w:tentative="1">
      <w:start w:val="1"/>
      <w:numFmt w:val="bullet"/>
      <w:lvlText w:val="•"/>
      <w:lvlJc w:val="left"/>
      <w:pPr>
        <w:tabs>
          <w:tab w:val="num" w:pos="2880"/>
        </w:tabs>
        <w:ind w:left="2880" w:hanging="360"/>
      </w:pPr>
      <w:rPr>
        <w:rFonts w:ascii="Arial" w:hAnsi="Arial" w:hint="default"/>
      </w:rPr>
    </w:lvl>
    <w:lvl w:ilvl="4" w:tplc="16FE9576" w:tentative="1">
      <w:start w:val="1"/>
      <w:numFmt w:val="bullet"/>
      <w:lvlText w:val="•"/>
      <w:lvlJc w:val="left"/>
      <w:pPr>
        <w:tabs>
          <w:tab w:val="num" w:pos="3600"/>
        </w:tabs>
        <w:ind w:left="3600" w:hanging="360"/>
      </w:pPr>
      <w:rPr>
        <w:rFonts w:ascii="Arial" w:hAnsi="Arial" w:hint="default"/>
      </w:rPr>
    </w:lvl>
    <w:lvl w:ilvl="5" w:tplc="450AEA4C" w:tentative="1">
      <w:start w:val="1"/>
      <w:numFmt w:val="bullet"/>
      <w:lvlText w:val="•"/>
      <w:lvlJc w:val="left"/>
      <w:pPr>
        <w:tabs>
          <w:tab w:val="num" w:pos="4320"/>
        </w:tabs>
        <w:ind w:left="4320" w:hanging="360"/>
      </w:pPr>
      <w:rPr>
        <w:rFonts w:ascii="Arial" w:hAnsi="Arial" w:hint="default"/>
      </w:rPr>
    </w:lvl>
    <w:lvl w:ilvl="6" w:tplc="037AC90A" w:tentative="1">
      <w:start w:val="1"/>
      <w:numFmt w:val="bullet"/>
      <w:lvlText w:val="•"/>
      <w:lvlJc w:val="left"/>
      <w:pPr>
        <w:tabs>
          <w:tab w:val="num" w:pos="5040"/>
        </w:tabs>
        <w:ind w:left="5040" w:hanging="360"/>
      </w:pPr>
      <w:rPr>
        <w:rFonts w:ascii="Arial" w:hAnsi="Arial" w:hint="default"/>
      </w:rPr>
    </w:lvl>
    <w:lvl w:ilvl="7" w:tplc="09EAD37E" w:tentative="1">
      <w:start w:val="1"/>
      <w:numFmt w:val="bullet"/>
      <w:lvlText w:val="•"/>
      <w:lvlJc w:val="left"/>
      <w:pPr>
        <w:tabs>
          <w:tab w:val="num" w:pos="5760"/>
        </w:tabs>
        <w:ind w:left="5760" w:hanging="360"/>
      </w:pPr>
      <w:rPr>
        <w:rFonts w:ascii="Arial" w:hAnsi="Arial" w:hint="default"/>
      </w:rPr>
    </w:lvl>
    <w:lvl w:ilvl="8" w:tplc="32AA10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CF039C"/>
    <w:multiLevelType w:val="hybridMultilevel"/>
    <w:tmpl w:val="63EA6B18"/>
    <w:lvl w:ilvl="0" w:tplc="0194E334">
      <w:start w:val="1"/>
      <w:numFmt w:val="upperRoman"/>
      <w:lvlText w:val="%1."/>
      <w:lvlJc w:val="left"/>
      <w:pPr>
        <w:ind w:left="1260" w:hanging="72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FB069AB"/>
    <w:multiLevelType w:val="hybridMultilevel"/>
    <w:tmpl w:val="8088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3FB00F88"/>
    <w:multiLevelType w:val="hybridMultilevel"/>
    <w:tmpl w:val="1ED6586E"/>
    <w:lvl w:ilvl="0" w:tplc="0409000F">
      <w:start w:val="7"/>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74B43BB"/>
    <w:multiLevelType w:val="hybridMultilevel"/>
    <w:tmpl w:val="5F0841A2"/>
    <w:lvl w:ilvl="0" w:tplc="0409000F">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6CA674D8"/>
    <w:multiLevelType w:val="hybridMultilevel"/>
    <w:tmpl w:val="43965CC0"/>
    <w:lvl w:ilvl="0" w:tplc="4BFC96AA">
      <w:start w:val="1"/>
      <w:numFmt w:val="decimal"/>
      <w:lvlText w:val="%1."/>
      <w:lvlJc w:val="left"/>
      <w:pPr>
        <w:ind w:left="360" w:hanging="360"/>
      </w:pPr>
      <w:rPr>
        <w:b w:val="0"/>
        <w:sz w:val="24"/>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E50CA"/>
    <w:multiLevelType w:val="hybridMultilevel"/>
    <w:tmpl w:val="454C0700"/>
    <w:lvl w:ilvl="0" w:tplc="A18875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5"/>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1647"/>
    <w:rsid w:val="000027D2"/>
    <w:rsid w:val="00004829"/>
    <w:rsid w:val="00004D5F"/>
    <w:rsid w:val="00005E26"/>
    <w:rsid w:val="00007D86"/>
    <w:rsid w:val="0001309E"/>
    <w:rsid w:val="000138CE"/>
    <w:rsid w:val="00015FDE"/>
    <w:rsid w:val="00016217"/>
    <w:rsid w:val="00016693"/>
    <w:rsid w:val="00016861"/>
    <w:rsid w:val="000200CF"/>
    <w:rsid w:val="000205F1"/>
    <w:rsid w:val="00022047"/>
    <w:rsid w:val="00025997"/>
    <w:rsid w:val="0002647C"/>
    <w:rsid w:val="000274B9"/>
    <w:rsid w:val="0002758B"/>
    <w:rsid w:val="000276A0"/>
    <w:rsid w:val="000330DB"/>
    <w:rsid w:val="0003429F"/>
    <w:rsid w:val="0003562A"/>
    <w:rsid w:val="00035EC0"/>
    <w:rsid w:val="00036095"/>
    <w:rsid w:val="00036A93"/>
    <w:rsid w:val="00036AF4"/>
    <w:rsid w:val="000375B0"/>
    <w:rsid w:val="00041C10"/>
    <w:rsid w:val="00043804"/>
    <w:rsid w:val="000441A1"/>
    <w:rsid w:val="00050869"/>
    <w:rsid w:val="000561C1"/>
    <w:rsid w:val="00056204"/>
    <w:rsid w:val="000570D1"/>
    <w:rsid w:val="000571A9"/>
    <w:rsid w:val="00060290"/>
    <w:rsid w:val="00060C76"/>
    <w:rsid w:val="000626A1"/>
    <w:rsid w:val="00063E24"/>
    <w:rsid w:val="00067C22"/>
    <w:rsid w:val="0007008B"/>
    <w:rsid w:val="00072229"/>
    <w:rsid w:val="00073425"/>
    <w:rsid w:val="00073CF1"/>
    <w:rsid w:val="00074BD0"/>
    <w:rsid w:val="00074D9A"/>
    <w:rsid w:val="00074DB9"/>
    <w:rsid w:val="0007509D"/>
    <w:rsid w:val="000753C4"/>
    <w:rsid w:val="00075DF0"/>
    <w:rsid w:val="00075E85"/>
    <w:rsid w:val="000762CA"/>
    <w:rsid w:val="000803A4"/>
    <w:rsid w:val="000806E3"/>
    <w:rsid w:val="00080DDB"/>
    <w:rsid w:val="00081778"/>
    <w:rsid w:val="00082DE4"/>
    <w:rsid w:val="0008339E"/>
    <w:rsid w:val="00085DCA"/>
    <w:rsid w:val="00090AD1"/>
    <w:rsid w:val="00090F4F"/>
    <w:rsid w:val="000911FE"/>
    <w:rsid w:val="00091476"/>
    <w:rsid w:val="00092879"/>
    <w:rsid w:val="00094DB0"/>
    <w:rsid w:val="00094E87"/>
    <w:rsid w:val="00097FB2"/>
    <w:rsid w:val="000A151D"/>
    <w:rsid w:val="000A24C5"/>
    <w:rsid w:val="000A3F7F"/>
    <w:rsid w:val="000B04F0"/>
    <w:rsid w:val="000B0584"/>
    <w:rsid w:val="000B1C70"/>
    <w:rsid w:val="000B3A13"/>
    <w:rsid w:val="000B4BB2"/>
    <w:rsid w:val="000B5CD6"/>
    <w:rsid w:val="000B6379"/>
    <w:rsid w:val="000C081D"/>
    <w:rsid w:val="000C464D"/>
    <w:rsid w:val="000C6C81"/>
    <w:rsid w:val="000C7476"/>
    <w:rsid w:val="000C76B0"/>
    <w:rsid w:val="000C7BBE"/>
    <w:rsid w:val="000D2475"/>
    <w:rsid w:val="000D2874"/>
    <w:rsid w:val="000D442C"/>
    <w:rsid w:val="000D4DC4"/>
    <w:rsid w:val="000E5FBA"/>
    <w:rsid w:val="000E612D"/>
    <w:rsid w:val="000E663A"/>
    <w:rsid w:val="000E6AB1"/>
    <w:rsid w:val="000E745A"/>
    <w:rsid w:val="000E7E9E"/>
    <w:rsid w:val="000F0044"/>
    <w:rsid w:val="000F275E"/>
    <w:rsid w:val="000F5541"/>
    <w:rsid w:val="000F703B"/>
    <w:rsid w:val="000F72ED"/>
    <w:rsid w:val="000F7A4C"/>
    <w:rsid w:val="00106E90"/>
    <w:rsid w:val="00106EF8"/>
    <w:rsid w:val="00107348"/>
    <w:rsid w:val="001079CD"/>
    <w:rsid w:val="001101A2"/>
    <w:rsid w:val="00111489"/>
    <w:rsid w:val="00111792"/>
    <w:rsid w:val="00111797"/>
    <w:rsid w:val="00111B19"/>
    <w:rsid w:val="00114A64"/>
    <w:rsid w:val="001153AA"/>
    <w:rsid w:val="00115F59"/>
    <w:rsid w:val="00116C1A"/>
    <w:rsid w:val="00121F3E"/>
    <w:rsid w:val="0012229E"/>
    <w:rsid w:val="00123849"/>
    <w:rsid w:val="00123A5E"/>
    <w:rsid w:val="00125010"/>
    <w:rsid w:val="00125266"/>
    <w:rsid w:val="00125A48"/>
    <w:rsid w:val="00125B82"/>
    <w:rsid w:val="001305E6"/>
    <w:rsid w:val="0013239A"/>
    <w:rsid w:val="00132D93"/>
    <w:rsid w:val="0013761A"/>
    <w:rsid w:val="0014423A"/>
    <w:rsid w:val="0014563B"/>
    <w:rsid w:val="00147042"/>
    <w:rsid w:val="001471A7"/>
    <w:rsid w:val="00147C5D"/>
    <w:rsid w:val="001506F6"/>
    <w:rsid w:val="00154032"/>
    <w:rsid w:val="001547D3"/>
    <w:rsid w:val="001559BD"/>
    <w:rsid w:val="00157F09"/>
    <w:rsid w:val="00157F79"/>
    <w:rsid w:val="00163E84"/>
    <w:rsid w:val="001668AA"/>
    <w:rsid w:val="001675B1"/>
    <w:rsid w:val="0016789D"/>
    <w:rsid w:val="00167C87"/>
    <w:rsid w:val="00172EE3"/>
    <w:rsid w:val="00177E7E"/>
    <w:rsid w:val="0018096B"/>
    <w:rsid w:val="0018356F"/>
    <w:rsid w:val="001876C5"/>
    <w:rsid w:val="00187D68"/>
    <w:rsid w:val="00190155"/>
    <w:rsid w:val="001906B5"/>
    <w:rsid w:val="00194163"/>
    <w:rsid w:val="00194FEB"/>
    <w:rsid w:val="00196E84"/>
    <w:rsid w:val="001970A4"/>
    <w:rsid w:val="001972EB"/>
    <w:rsid w:val="00197AD1"/>
    <w:rsid w:val="001A00D9"/>
    <w:rsid w:val="001B0020"/>
    <w:rsid w:val="001B20F9"/>
    <w:rsid w:val="001B3F87"/>
    <w:rsid w:val="001B4026"/>
    <w:rsid w:val="001B598C"/>
    <w:rsid w:val="001B6502"/>
    <w:rsid w:val="001B76A6"/>
    <w:rsid w:val="001C07F8"/>
    <w:rsid w:val="001C1147"/>
    <w:rsid w:val="001C2F59"/>
    <w:rsid w:val="001C328B"/>
    <w:rsid w:val="001C6C08"/>
    <w:rsid w:val="001D2056"/>
    <w:rsid w:val="001D3DC6"/>
    <w:rsid w:val="001D42D1"/>
    <w:rsid w:val="001D64E5"/>
    <w:rsid w:val="001D6EB8"/>
    <w:rsid w:val="001E05EC"/>
    <w:rsid w:val="001E4809"/>
    <w:rsid w:val="001E483B"/>
    <w:rsid w:val="001E4F4F"/>
    <w:rsid w:val="001F118F"/>
    <w:rsid w:val="001F27F4"/>
    <w:rsid w:val="001F2ADF"/>
    <w:rsid w:val="001F3525"/>
    <w:rsid w:val="001F3DC0"/>
    <w:rsid w:val="001F4C5A"/>
    <w:rsid w:val="001F4DF7"/>
    <w:rsid w:val="001F4EA9"/>
    <w:rsid w:val="001F4F73"/>
    <w:rsid w:val="001F6425"/>
    <w:rsid w:val="001F6772"/>
    <w:rsid w:val="001F7421"/>
    <w:rsid w:val="001F7BBA"/>
    <w:rsid w:val="00200195"/>
    <w:rsid w:val="00200B5F"/>
    <w:rsid w:val="00201EEF"/>
    <w:rsid w:val="00202755"/>
    <w:rsid w:val="00202CBD"/>
    <w:rsid w:val="002047C8"/>
    <w:rsid w:val="002052B3"/>
    <w:rsid w:val="00205453"/>
    <w:rsid w:val="002058F9"/>
    <w:rsid w:val="00207995"/>
    <w:rsid w:val="00207F32"/>
    <w:rsid w:val="00212B1F"/>
    <w:rsid w:val="00213340"/>
    <w:rsid w:val="00213D7C"/>
    <w:rsid w:val="00214513"/>
    <w:rsid w:val="002155B7"/>
    <w:rsid w:val="0021766A"/>
    <w:rsid w:val="0022008D"/>
    <w:rsid w:val="002225D3"/>
    <w:rsid w:val="00222A35"/>
    <w:rsid w:val="0022301D"/>
    <w:rsid w:val="00224B2C"/>
    <w:rsid w:val="00227E55"/>
    <w:rsid w:val="00232AA0"/>
    <w:rsid w:val="002346C2"/>
    <w:rsid w:val="00234CDF"/>
    <w:rsid w:val="00236B91"/>
    <w:rsid w:val="002424C0"/>
    <w:rsid w:val="00242617"/>
    <w:rsid w:val="00242CAA"/>
    <w:rsid w:val="0024503B"/>
    <w:rsid w:val="00245D74"/>
    <w:rsid w:val="00246D03"/>
    <w:rsid w:val="00246DDF"/>
    <w:rsid w:val="00247826"/>
    <w:rsid w:val="00253979"/>
    <w:rsid w:val="00253CA4"/>
    <w:rsid w:val="0025412E"/>
    <w:rsid w:val="00256D5E"/>
    <w:rsid w:val="002573CC"/>
    <w:rsid w:val="00260FAA"/>
    <w:rsid w:val="00262338"/>
    <w:rsid w:val="00263938"/>
    <w:rsid w:val="002646D7"/>
    <w:rsid w:val="00265021"/>
    <w:rsid w:val="00265E16"/>
    <w:rsid w:val="002671D7"/>
    <w:rsid w:val="0027259C"/>
    <w:rsid w:val="00273543"/>
    <w:rsid w:val="00273AC2"/>
    <w:rsid w:val="00274C82"/>
    <w:rsid w:val="0027654D"/>
    <w:rsid w:val="002810DF"/>
    <w:rsid w:val="002812AB"/>
    <w:rsid w:val="002816D8"/>
    <w:rsid w:val="00282A8C"/>
    <w:rsid w:val="002854EE"/>
    <w:rsid w:val="0028565C"/>
    <w:rsid w:val="002875DE"/>
    <w:rsid w:val="00287E07"/>
    <w:rsid w:val="00290EB3"/>
    <w:rsid w:val="00291A73"/>
    <w:rsid w:val="00292846"/>
    <w:rsid w:val="00292A90"/>
    <w:rsid w:val="00294364"/>
    <w:rsid w:val="002971D6"/>
    <w:rsid w:val="002979B0"/>
    <w:rsid w:val="002A2F08"/>
    <w:rsid w:val="002A3641"/>
    <w:rsid w:val="002A3BF4"/>
    <w:rsid w:val="002A495F"/>
    <w:rsid w:val="002A706F"/>
    <w:rsid w:val="002A70EA"/>
    <w:rsid w:val="002A7363"/>
    <w:rsid w:val="002A7F43"/>
    <w:rsid w:val="002B0F23"/>
    <w:rsid w:val="002B365E"/>
    <w:rsid w:val="002B3E6C"/>
    <w:rsid w:val="002B489A"/>
    <w:rsid w:val="002B6341"/>
    <w:rsid w:val="002B6C7F"/>
    <w:rsid w:val="002C031A"/>
    <w:rsid w:val="002C0526"/>
    <w:rsid w:val="002C125F"/>
    <w:rsid w:val="002C27A8"/>
    <w:rsid w:val="002C333E"/>
    <w:rsid w:val="002C36C8"/>
    <w:rsid w:val="002C51A0"/>
    <w:rsid w:val="002C57E0"/>
    <w:rsid w:val="002C7971"/>
    <w:rsid w:val="002D0584"/>
    <w:rsid w:val="002D09AE"/>
    <w:rsid w:val="002D2E2A"/>
    <w:rsid w:val="002D399C"/>
    <w:rsid w:val="002D4274"/>
    <w:rsid w:val="002D5295"/>
    <w:rsid w:val="002D52BF"/>
    <w:rsid w:val="002D68FA"/>
    <w:rsid w:val="002D7ECA"/>
    <w:rsid w:val="002E0141"/>
    <w:rsid w:val="002E0B5D"/>
    <w:rsid w:val="002E0B76"/>
    <w:rsid w:val="002E1495"/>
    <w:rsid w:val="002E234B"/>
    <w:rsid w:val="002E2466"/>
    <w:rsid w:val="002E2900"/>
    <w:rsid w:val="002E31D3"/>
    <w:rsid w:val="002E3C0D"/>
    <w:rsid w:val="002E43EC"/>
    <w:rsid w:val="002E4883"/>
    <w:rsid w:val="002E5B3C"/>
    <w:rsid w:val="002E7A79"/>
    <w:rsid w:val="002F1D9E"/>
    <w:rsid w:val="002F2C6E"/>
    <w:rsid w:val="002F2D84"/>
    <w:rsid w:val="002F3C88"/>
    <w:rsid w:val="002F4067"/>
    <w:rsid w:val="002F47EB"/>
    <w:rsid w:val="002F57A2"/>
    <w:rsid w:val="002F7339"/>
    <w:rsid w:val="002F7461"/>
    <w:rsid w:val="003006C0"/>
    <w:rsid w:val="003025E2"/>
    <w:rsid w:val="00302812"/>
    <w:rsid w:val="00302C0D"/>
    <w:rsid w:val="00306D24"/>
    <w:rsid w:val="00307712"/>
    <w:rsid w:val="0031404A"/>
    <w:rsid w:val="00314B7C"/>
    <w:rsid w:val="00314E49"/>
    <w:rsid w:val="00315445"/>
    <w:rsid w:val="00316661"/>
    <w:rsid w:val="00317183"/>
    <w:rsid w:val="00317ECB"/>
    <w:rsid w:val="003204AE"/>
    <w:rsid w:val="003208E1"/>
    <w:rsid w:val="003208EF"/>
    <w:rsid w:val="003211EB"/>
    <w:rsid w:val="00324846"/>
    <w:rsid w:val="00324ABD"/>
    <w:rsid w:val="00324D9B"/>
    <w:rsid w:val="00325275"/>
    <w:rsid w:val="003272A6"/>
    <w:rsid w:val="003273CB"/>
    <w:rsid w:val="0033125E"/>
    <w:rsid w:val="0033325E"/>
    <w:rsid w:val="00336913"/>
    <w:rsid w:val="0033718C"/>
    <w:rsid w:val="00337407"/>
    <w:rsid w:val="00337BB8"/>
    <w:rsid w:val="00340E02"/>
    <w:rsid w:val="00343E6E"/>
    <w:rsid w:val="00343E9A"/>
    <w:rsid w:val="003450C8"/>
    <w:rsid w:val="0034782B"/>
    <w:rsid w:val="00350E8A"/>
    <w:rsid w:val="00351E5C"/>
    <w:rsid w:val="00353F60"/>
    <w:rsid w:val="0035580F"/>
    <w:rsid w:val="00357CB4"/>
    <w:rsid w:val="00357E1C"/>
    <w:rsid w:val="003604EE"/>
    <w:rsid w:val="00360DAF"/>
    <w:rsid w:val="0036286B"/>
    <w:rsid w:val="00363371"/>
    <w:rsid w:val="00364989"/>
    <w:rsid w:val="003664C0"/>
    <w:rsid w:val="00366769"/>
    <w:rsid w:val="00367A28"/>
    <w:rsid w:val="00367E04"/>
    <w:rsid w:val="0037112E"/>
    <w:rsid w:val="00372D73"/>
    <w:rsid w:val="003761F2"/>
    <w:rsid w:val="00376A05"/>
    <w:rsid w:val="003774FE"/>
    <w:rsid w:val="0038438B"/>
    <w:rsid w:val="0038483D"/>
    <w:rsid w:val="0039055D"/>
    <w:rsid w:val="00390E30"/>
    <w:rsid w:val="00393ABE"/>
    <w:rsid w:val="0039458D"/>
    <w:rsid w:val="00394D61"/>
    <w:rsid w:val="003A1EBF"/>
    <w:rsid w:val="003A1F5A"/>
    <w:rsid w:val="003A20C4"/>
    <w:rsid w:val="003A2252"/>
    <w:rsid w:val="003A2ECE"/>
    <w:rsid w:val="003A4252"/>
    <w:rsid w:val="003A539A"/>
    <w:rsid w:val="003A62A4"/>
    <w:rsid w:val="003A6778"/>
    <w:rsid w:val="003A6ABC"/>
    <w:rsid w:val="003A6E03"/>
    <w:rsid w:val="003A7183"/>
    <w:rsid w:val="003A7476"/>
    <w:rsid w:val="003A7D86"/>
    <w:rsid w:val="003B0AA1"/>
    <w:rsid w:val="003B243D"/>
    <w:rsid w:val="003B25C4"/>
    <w:rsid w:val="003B304F"/>
    <w:rsid w:val="003B405B"/>
    <w:rsid w:val="003B5D18"/>
    <w:rsid w:val="003B72FE"/>
    <w:rsid w:val="003B795D"/>
    <w:rsid w:val="003C075D"/>
    <w:rsid w:val="003C22D8"/>
    <w:rsid w:val="003C26A6"/>
    <w:rsid w:val="003C26C1"/>
    <w:rsid w:val="003C5784"/>
    <w:rsid w:val="003C5C11"/>
    <w:rsid w:val="003C6A5A"/>
    <w:rsid w:val="003C6AAD"/>
    <w:rsid w:val="003C76E4"/>
    <w:rsid w:val="003D02D5"/>
    <w:rsid w:val="003D1D4D"/>
    <w:rsid w:val="003D3682"/>
    <w:rsid w:val="003D37DD"/>
    <w:rsid w:val="003D45DF"/>
    <w:rsid w:val="003D47C6"/>
    <w:rsid w:val="003D7E38"/>
    <w:rsid w:val="003D7EAC"/>
    <w:rsid w:val="003E1AFA"/>
    <w:rsid w:val="003E379A"/>
    <w:rsid w:val="003E52B0"/>
    <w:rsid w:val="003E64DC"/>
    <w:rsid w:val="003E7516"/>
    <w:rsid w:val="003E7A43"/>
    <w:rsid w:val="003F0B58"/>
    <w:rsid w:val="003F0C8B"/>
    <w:rsid w:val="003F0D40"/>
    <w:rsid w:val="003F1511"/>
    <w:rsid w:val="003F2236"/>
    <w:rsid w:val="003F27B7"/>
    <w:rsid w:val="003F4051"/>
    <w:rsid w:val="003F468C"/>
    <w:rsid w:val="003F575E"/>
    <w:rsid w:val="003F5812"/>
    <w:rsid w:val="003F625A"/>
    <w:rsid w:val="003F6A0F"/>
    <w:rsid w:val="003F6AA4"/>
    <w:rsid w:val="003F6EA1"/>
    <w:rsid w:val="00400E4A"/>
    <w:rsid w:val="00402E9A"/>
    <w:rsid w:val="0040309B"/>
    <w:rsid w:val="00403CC8"/>
    <w:rsid w:val="00403FA8"/>
    <w:rsid w:val="00404040"/>
    <w:rsid w:val="00404213"/>
    <w:rsid w:val="0040475C"/>
    <w:rsid w:val="004048AC"/>
    <w:rsid w:val="00404B8E"/>
    <w:rsid w:val="00405784"/>
    <w:rsid w:val="004068C2"/>
    <w:rsid w:val="00412559"/>
    <w:rsid w:val="00415E7F"/>
    <w:rsid w:val="004170FC"/>
    <w:rsid w:val="0041762D"/>
    <w:rsid w:val="00420288"/>
    <w:rsid w:val="00421C78"/>
    <w:rsid w:val="004224CE"/>
    <w:rsid w:val="00423592"/>
    <w:rsid w:val="00423EDD"/>
    <w:rsid w:val="00424A78"/>
    <w:rsid w:val="004254DB"/>
    <w:rsid w:val="00427DA9"/>
    <w:rsid w:val="00427EEA"/>
    <w:rsid w:val="00431836"/>
    <w:rsid w:val="004321E6"/>
    <w:rsid w:val="0043278E"/>
    <w:rsid w:val="00433F0B"/>
    <w:rsid w:val="004360AC"/>
    <w:rsid w:val="00436658"/>
    <w:rsid w:val="00436B83"/>
    <w:rsid w:val="00441061"/>
    <w:rsid w:val="00442363"/>
    <w:rsid w:val="0044560C"/>
    <w:rsid w:val="00446E5D"/>
    <w:rsid w:val="00447227"/>
    <w:rsid w:val="004475AD"/>
    <w:rsid w:val="004501C9"/>
    <w:rsid w:val="00450C70"/>
    <w:rsid w:val="00450DF2"/>
    <w:rsid w:val="00453344"/>
    <w:rsid w:val="00453666"/>
    <w:rsid w:val="004537DC"/>
    <w:rsid w:val="00454E76"/>
    <w:rsid w:val="004550F3"/>
    <w:rsid w:val="00455712"/>
    <w:rsid w:val="00457080"/>
    <w:rsid w:val="00460891"/>
    <w:rsid w:val="00462258"/>
    <w:rsid w:val="00464FB2"/>
    <w:rsid w:val="004662A8"/>
    <w:rsid w:val="00466CDC"/>
    <w:rsid w:val="0046745E"/>
    <w:rsid w:val="0047036F"/>
    <w:rsid w:val="004736BE"/>
    <w:rsid w:val="0047483B"/>
    <w:rsid w:val="004753F6"/>
    <w:rsid w:val="0047556D"/>
    <w:rsid w:val="00475619"/>
    <w:rsid w:val="00475789"/>
    <w:rsid w:val="00476170"/>
    <w:rsid w:val="004820B0"/>
    <w:rsid w:val="00482117"/>
    <w:rsid w:val="00482E2F"/>
    <w:rsid w:val="004844C0"/>
    <w:rsid w:val="004859B4"/>
    <w:rsid w:val="00486ACD"/>
    <w:rsid w:val="00490B8D"/>
    <w:rsid w:val="00492C65"/>
    <w:rsid w:val="0049403F"/>
    <w:rsid w:val="00494323"/>
    <w:rsid w:val="00494349"/>
    <w:rsid w:val="00494485"/>
    <w:rsid w:val="00494711"/>
    <w:rsid w:val="004952D5"/>
    <w:rsid w:val="0049762B"/>
    <w:rsid w:val="004A0121"/>
    <w:rsid w:val="004A0F27"/>
    <w:rsid w:val="004A0F37"/>
    <w:rsid w:val="004A0F68"/>
    <w:rsid w:val="004A1AAE"/>
    <w:rsid w:val="004A32D5"/>
    <w:rsid w:val="004A3608"/>
    <w:rsid w:val="004A3C82"/>
    <w:rsid w:val="004A4FBD"/>
    <w:rsid w:val="004A559E"/>
    <w:rsid w:val="004A7810"/>
    <w:rsid w:val="004A7E93"/>
    <w:rsid w:val="004A7FE0"/>
    <w:rsid w:val="004B3CFB"/>
    <w:rsid w:val="004B5D6B"/>
    <w:rsid w:val="004B76F8"/>
    <w:rsid w:val="004C1FA6"/>
    <w:rsid w:val="004C5386"/>
    <w:rsid w:val="004C5CFD"/>
    <w:rsid w:val="004D064B"/>
    <w:rsid w:val="004D12C0"/>
    <w:rsid w:val="004D18EA"/>
    <w:rsid w:val="004D3713"/>
    <w:rsid w:val="004D48FD"/>
    <w:rsid w:val="004D6254"/>
    <w:rsid w:val="004D70FD"/>
    <w:rsid w:val="004D7E99"/>
    <w:rsid w:val="004E00CE"/>
    <w:rsid w:val="004E2BDB"/>
    <w:rsid w:val="004E5891"/>
    <w:rsid w:val="004F146A"/>
    <w:rsid w:val="004F1D9D"/>
    <w:rsid w:val="004F333F"/>
    <w:rsid w:val="004F4198"/>
    <w:rsid w:val="004F50AF"/>
    <w:rsid w:val="004F681D"/>
    <w:rsid w:val="004F6E14"/>
    <w:rsid w:val="0050228C"/>
    <w:rsid w:val="00502857"/>
    <w:rsid w:val="00502C3B"/>
    <w:rsid w:val="005044A9"/>
    <w:rsid w:val="005056F9"/>
    <w:rsid w:val="00505994"/>
    <w:rsid w:val="00505FD4"/>
    <w:rsid w:val="00506E25"/>
    <w:rsid w:val="00510338"/>
    <w:rsid w:val="005108DA"/>
    <w:rsid w:val="0051132C"/>
    <w:rsid w:val="00513483"/>
    <w:rsid w:val="00514A55"/>
    <w:rsid w:val="00514EF5"/>
    <w:rsid w:val="00515C04"/>
    <w:rsid w:val="0051782D"/>
    <w:rsid w:val="005179C0"/>
    <w:rsid w:val="0052087E"/>
    <w:rsid w:val="00521488"/>
    <w:rsid w:val="0052315E"/>
    <w:rsid w:val="00524508"/>
    <w:rsid w:val="00525FFC"/>
    <w:rsid w:val="00527E2E"/>
    <w:rsid w:val="00527FAD"/>
    <w:rsid w:val="00530ED3"/>
    <w:rsid w:val="00532E81"/>
    <w:rsid w:val="0053438E"/>
    <w:rsid w:val="005346B7"/>
    <w:rsid w:val="005355EE"/>
    <w:rsid w:val="00535B16"/>
    <w:rsid w:val="00535D89"/>
    <w:rsid w:val="005366D0"/>
    <w:rsid w:val="00537C27"/>
    <w:rsid w:val="00537E27"/>
    <w:rsid w:val="00540B4D"/>
    <w:rsid w:val="00540FFA"/>
    <w:rsid w:val="00542930"/>
    <w:rsid w:val="005435B3"/>
    <w:rsid w:val="00550849"/>
    <w:rsid w:val="00550866"/>
    <w:rsid w:val="00554BB6"/>
    <w:rsid w:val="00554BF3"/>
    <w:rsid w:val="005555C4"/>
    <w:rsid w:val="0055655F"/>
    <w:rsid w:val="0055657D"/>
    <w:rsid w:val="00560D0D"/>
    <w:rsid w:val="00563800"/>
    <w:rsid w:val="00565FB1"/>
    <w:rsid w:val="005662FB"/>
    <w:rsid w:val="00566BF4"/>
    <w:rsid w:val="00567781"/>
    <w:rsid w:val="00567ECC"/>
    <w:rsid w:val="005712BD"/>
    <w:rsid w:val="005713B1"/>
    <w:rsid w:val="00583090"/>
    <w:rsid w:val="005835F4"/>
    <w:rsid w:val="00583EFE"/>
    <w:rsid w:val="00584076"/>
    <w:rsid w:val="005841A3"/>
    <w:rsid w:val="00585E83"/>
    <w:rsid w:val="00586D9A"/>
    <w:rsid w:val="00590EAE"/>
    <w:rsid w:val="0059112A"/>
    <w:rsid w:val="00593216"/>
    <w:rsid w:val="00593C62"/>
    <w:rsid w:val="00594BC3"/>
    <w:rsid w:val="00596CA7"/>
    <w:rsid w:val="00596DC8"/>
    <w:rsid w:val="00596E16"/>
    <w:rsid w:val="005A16A3"/>
    <w:rsid w:val="005A1C48"/>
    <w:rsid w:val="005A253A"/>
    <w:rsid w:val="005A40AF"/>
    <w:rsid w:val="005A64BF"/>
    <w:rsid w:val="005B4421"/>
    <w:rsid w:val="005B4A2C"/>
    <w:rsid w:val="005B7929"/>
    <w:rsid w:val="005C1151"/>
    <w:rsid w:val="005C21B0"/>
    <w:rsid w:val="005C23AF"/>
    <w:rsid w:val="005C25D1"/>
    <w:rsid w:val="005C35A9"/>
    <w:rsid w:val="005C464B"/>
    <w:rsid w:val="005C4B9A"/>
    <w:rsid w:val="005C4E5F"/>
    <w:rsid w:val="005C74A0"/>
    <w:rsid w:val="005D052C"/>
    <w:rsid w:val="005D16FE"/>
    <w:rsid w:val="005D4084"/>
    <w:rsid w:val="005D4777"/>
    <w:rsid w:val="005D4C2B"/>
    <w:rsid w:val="005E4A9A"/>
    <w:rsid w:val="005E52B3"/>
    <w:rsid w:val="005E6B93"/>
    <w:rsid w:val="005E6C48"/>
    <w:rsid w:val="005E7953"/>
    <w:rsid w:val="005E7E82"/>
    <w:rsid w:val="005F2C42"/>
    <w:rsid w:val="005F6C28"/>
    <w:rsid w:val="005F7AB6"/>
    <w:rsid w:val="005F7E3C"/>
    <w:rsid w:val="00600FA8"/>
    <w:rsid w:val="00602702"/>
    <w:rsid w:val="00602B86"/>
    <w:rsid w:val="0060594C"/>
    <w:rsid w:val="006063DA"/>
    <w:rsid w:val="00606CD0"/>
    <w:rsid w:val="00606CE3"/>
    <w:rsid w:val="00611DD3"/>
    <w:rsid w:val="00611EF0"/>
    <w:rsid w:val="0061205E"/>
    <w:rsid w:val="00612219"/>
    <w:rsid w:val="006125FC"/>
    <w:rsid w:val="00612A55"/>
    <w:rsid w:val="00612E04"/>
    <w:rsid w:val="006142C1"/>
    <w:rsid w:val="0061482E"/>
    <w:rsid w:val="0061639A"/>
    <w:rsid w:val="006173A4"/>
    <w:rsid w:val="00617C44"/>
    <w:rsid w:val="00620086"/>
    <w:rsid w:val="00620A98"/>
    <w:rsid w:val="00620D57"/>
    <w:rsid w:val="00620F18"/>
    <w:rsid w:val="00622CE4"/>
    <w:rsid w:val="006234A7"/>
    <w:rsid w:val="00623F8E"/>
    <w:rsid w:val="00624CCE"/>
    <w:rsid w:val="00625423"/>
    <w:rsid w:val="006257EB"/>
    <w:rsid w:val="00625917"/>
    <w:rsid w:val="0062789F"/>
    <w:rsid w:val="006301BE"/>
    <w:rsid w:val="0063096E"/>
    <w:rsid w:val="00633349"/>
    <w:rsid w:val="00633D61"/>
    <w:rsid w:val="0063402B"/>
    <w:rsid w:val="00636570"/>
    <w:rsid w:val="00637689"/>
    <w:rsid w:val="00637859"/>
    <w:rsid w:val="00637901"/>
    <w:rsid w:val="00637E1B"/>
    <w:rsid w:val="006402DF"/>
    <w:rsid w:val="0064164B"/>
    <w:rsid w:val="00644468"/>
    <w:rsid w:val="00645F5E"/>
    <w:rsid w:val="00647B1E"/>
    <w:rsid w:val="00647C55"/>
    <w:rsid w:val="0065008B"/>
    <w:rsid w:val="0065346B"/>
    <w:rsid w:val="00653A3B"/>
    <w:rsid w:val="00653FD9"/>
    <w:rsid w:val="00654D42"/>
    <w:rsid w:val="00656328"/>
    <w:rsid w:val="00656472"/>
    <w:rsid w:val="00660279"/>
    <w:rsid w:val="00660A94"/>
    <w:rsid w:val="006622B9"/>
    <w:rsid w:val="00662E1E"/>
    <w:rsid w:val="0066371E"/>
    <w:rsid w:val="006668AB"/>
    <w:rsid w:val="006724AD"/>
    <w:rsid w:val="00672BAB"/>
    <w:rsid w:val="0067314A"/>
    <w:rsid w:val="00673D1E"/>
    <w:rsid w:val="006779CF"/>
    <w:rsid w:val="00677A8F"/>
    <w:rsid w:val="00677D63"/>
    <w:rsid w:val="00677F8A"/>
    <w:rsid w:val="006821E3"/>
    <w:rsid w:val="00683AD6"/>
    <w:rsid w:val="006842AE"/>
    <w:rsid w:val="0068711D"/>
    <w:rsid w:val="006875BA"/>
    <w:rsid w:val="0069097D"/>
    <w:rsid w:val="00693FEA"/>
    <w:rsid w:val="00694C68"/>
    <w:rsid w:val="006A0ACF"/>
    <w:rsid w:val="006A33A3"/>
    <w:rsid w:val="006A5773"/>
    <w:rsid w:val="006A5804"/>
    <w:rsid w:val="006A58F0"/>
    <w:rsid w:val="006A6262"/>
    <w:rsid w:val="006B0372"/>
    <w:rsid w:val="006B0764"/>
    <w:rsid w:val="006B081C"/>
    <w:rsid w:val="006B4467"/>
    <w:rsid w:val="006B5803"/>
    <w:rsid w:val="006B6C46"/>
    <w:rsid w:val="006B6E78"/>
    <w:rsid w:val="006C0039"/>
    <w:rsid w:val="006C1927"/>
    <w:rsid w:val="006C1C5D"/>
    <w:rsid w:val="006C2585"/>
    <w:rsid w:val="006C3477"/>
    <w:rsid w:val="006C3F11"/>
    <w:rsid w:val="006C4008"/>
    <w:rsid w:val="006C494F"/>
    <w:rsid w:val="006C4E2C"/>
    <w:rsid w:val="006C5931"/>
    <w:rsid w:val="006C65BD"/>
    <w:rsid w:val="006C73EF"/>
    <w:rsid w:val="006D1723"/>
    <w:rsid w:val="006D40C3"/>
    <w:rsid w:val="006D5D3F"/>
    <w:rsid w:val="006D5EA9"/>
    <w:rsid w:val="006D60ED"/>
    <w:rsid w:val="006D6363"/>
    <w:rsid w:val="006D646A"/>
    <w:rsid w:val="006E1166"/>
    <w:rsid w:val="006E24D9"/>
    <w:rsid w:val="006E3010"/>
    <w:rsid w:val="006E596E"/>
    <w:rsid w:val="006E65E0"/>
    <w:rsid w:val="006F033F"/>
    <w:rsid w:val="006F24D8"/>
    <w:rsid w:val="006F33B8"/>
    <w:rsid w:val="006F4C9C"/>
    <w:rsid w:val="006F640F"/>
    <w:rsid w:val="006F6EF5"/>
    <w:rsid w:val="006F762A"/>
    <w:rsid w:val="00700337"/>
    <w:rsid w:val="00701B6B"/>
    <w:rsid w:val="00702C16"/>
    <w:rsid w:val="0070359A"/>
    <w:rsid w:val="0070384F"/>
    <w:rsid w:val="00703A9E"/>
    <w:rsid w:val="00703D6D"/>
    <w:rsid w:val="00704095"/>
    <w:rsid w:val="00704152"/>
    <w:rsid w:val="00704FB5"/>
    <w:rsid w:val="00706B71"/>
    <w:rsid w:val="0071022A"/>
    <w:rsid w:val="007121FB"/>
    <w:rsid w:val="00712667"/>
    <w:rsid w:val="0071277A"/>
    <w:rsid w:val="00712EE5"/>
    <w:rsid w:val="00713493"/>
    <w:rsid w:val="00713494"/>
    <w:rsid w:val="00714031"/>
    <w:rsid w:val="0071466E"/>
    <w:rsid w:val="00714A6C"/>
    <w:rsid w:val="00714CD3"/>
    <w:rsid w:val="00717993"/>
    <w:rsid w:val="007206A8"/>
    <w:rsid w:val="0072116D"/>
    <w:rsid w:val="0072226F"/>
    <w:rsid w:val="00723481"/>
    <w:rsid w:val="00725B78"/>
    <w:rsid w:val="00727082"/>
    <w:rsid w:val="00727CAB"/>
    <w:rsid w:val="0073233C"/>
    <w:rsid w:val="00732D0C"/>
    <w:rsid w:val="00733EAD"/>
    <w:rsid w:val="00734F54"/>
    <w:rsid w:val="00736D93"/>
    <w:rsid w:val="00737C04"/>
    <w:rsid w:val="00737F64"/>
    <w:rsid w:val="00742EE4"/>
    <w:rsid w:val="00744110"/>
    <w:rsid w:val="007442D3"/>
    <w:rsid w:val="00744595"/>
    <w:rsid w:val="00746499"/>
    <w:rsid w:val="00746E6B"/>
    <w:rsid w:val="00747A52"/>
    <w:rsid w:val="00750F1E"/>
    <w:rsid w:val="00751C12"/>
    <w:rsid w:val="00752691"/>
    <w:rsid w:val="007528F2"/>
    <w:rsid w:val="0075345F"/>
    <w:rsid w:val="007575C4"/>
    <w:rsid w:val="00757D63"/>
    <w:rsid w:val="00761BF3"/>
    <w:rsid w:val="00762A1B"/>
    <w:rsid w:val="00762D6D"/>
    <w:rsid w:val="00763700"/>
    <w:rsid w:val="0076427C"/>
    <w:rsid w:val="00765217"/>
    <w:rsid w:val="007659AA"/>
    <w:rsid w:val="00766334"/>
    <w:rsid w:val="0077266C"/>
    <w:rsid w:val="00772802"/>
    <w:rsid w:val="00775066"/>
    <w:rsid w:val="00776406"/>
    <w:rsid w:val="00777FA0"/>
    <w:rsid w:val="0078005A"/>
    <w:rsid w:val="00781B6F"/>
    <w:rsid w:val="00781F9C"/>
    <w:rsid w:val="00782ACA"/>
    <w:rsid w:val="00782DFD"/>
    <w:rsid w:val="00783267"/>
    <w:rsid w:val="00784424"/>
    <w:rsid w:val="00785474"/>
    <w:rsid w:val="007879A1"/>
    <w:rsid w:val="00787B99"/>
    <w:rsid w:val="0079025A"/>
    <w:rsid w:val="007925B6"/>
    <w:rsid w:val="0079421C"/>
    <w:rsid w:val="0079526D"/>
    <w:rsid w:val="0079542E"/>
    <w:rsid w:val="00795A2C"/>
    <w:rsid w:val="00796D7C"/>
    <w:rsid w:val="00797390"/>
    <w:rsid w:val="007976ED"/>
    <w:rsid w:val="007A05B6"/>
    <w:rsid w:val="007A1C0A"/>
    <w:rsid w:val="007A1C59"/>
    <w:rsid w:val="007A55B3"/>
    <w:rsid w:val="007A5B41"/>
    <w:rsid w:val="007A72A0"/>
    <w:rsid w:val="007B3A76"/>
    <w:rsid w:val="007B3FB3"/>
    <w:rsid w:val="007B5373"/>
    <w:rsid w:val="007B5792"/>
    <w:rsid w:val="007B6183"/>
    <w:rsid w:val="007B697A"/>
    <w:rsid w:val="007C31E2"/>
    <w:rsid w:val="007C389A"/>
    <w:rsid w:val="007C5CE1"/>
    <w:rsid w:val="007C6F85"/>
    <w:rsid w:val="007C7AF2"/>
    <w:rsid w:val="007D0569"/>
    <w:rsid w:val="007D16B1"/>
    <w:rsid w:val="007D19E4"/>
    <w:rsid w:val="007D484C"/>
    <w:rsid w:val="007D7400"/>
    <w:rsid w:val="007D7761"/>
    <w:rsid w:val="007D79FF"/>
    <w:rsid w:val="007E02A7"/>
    <w:rsid w:val="007E164A"/>
    <w:rsid w:val="007E2AB0"/>
    <w:rsid w:val="007E3B57"/>
    <w:rsid w:val="007E468A"/>
    <w:rsid w:val="007E51A5"/>
    <w:rsid w:val="007E7F4C"/>
    <w:rsid w:val="007F2EC6"/>
    <w:rsid w:val="007F3018"/>
    <w:rsid w:val="007F6862"/>
    <w:rsid w:val="00800B2B"/>
    <w:rsid w:val="008013FC"/>
    <w:rsid w:val="00803B54"/>
    <w:rsid w:val="008060C3"/>
    <w:rsid w:val="008063A1"/>
    <w:rsid w:val="00807C2B"/>
    <w:rsid w:val="00807F00"/>
    <w:rsid w:val="00812095"/>
    <w:rsid w:val="00812423"/>
    <w:rsid w:val="008134BD"/>
    <w:rsid w:val="00814656"/>
    <w:rsid w:val="00820E45"/>
    <w:rsid w:val="008216E5"/>
    <w:rsid w:val="00821E2C"/>
    <w:rsid w:val="00822835"/>
    <w:rsid w:val="00823A38"/>
    <w:rsid w:val="0082459B"/>
    <w:rsid w:val="00826758"/>
    <w:rsid w:val="008303A2"/>
    <w:rsid w:val="00830A4E"/>
    <w:rsid w:val="008353E0"/>
    <w:rsid w:val="008365F0"/>
    <w:rsid w:val="00841534"/>
    <w:rsid w:val="008440C3"/>
    <w:rsid w:val="00844F9B"/>
    <w:rsid w:val="008462F1"/>
    <w:rsid w:val="00846930"/>
    <w:rsid w:val="00850A25"/>
    <w:rsid w:val="00850FDE"/>
    <w:rsid w:val="00852876"/>
    <w:rsid w:val="00854137"/>
    <w:rsid w:val="008543F5"/>
    <w:rsid w:val="00855004"/>
    <w:rsid w:val="00856220"/>
    <w:rsid w:val="008572C4"/>
    <w:rsid w:val="0085733E"/>
    <w:rsid w:val="0085765A"/>
    <w:rsid w:val="008604A8"/>
    <w:rsid w:val="00860E64"/>
    <w:rsid w:val="00860FBD"/>
    <w:rsid w:val="008616F7"/>
    <w:rsid w:val="00861AFA"/>
    <w:rsid w:val="00863A04"/>
    <w:rsid w:val="00863C61"/>
    <w:rsid w:val="00865522"/>
    <w:rsid w:val="00865ADF"/>
    <w:rsid w:val="0086644C"/>
    <w:rsid w:val="008666B5"/>
    <w:rsid w:val="008703B3"/>
    <w:rsid w:val="00874FE8"/>
    <w:rsid w:val="008755AD"/>
    <w:rsid w:val="00876985"/>
    <w:rsid w:val="00883780"/>
    <w:rsid w:val="00883B99"/>
    <w:rsid w:val="00885066"/>
    <w:rsid w:val="00885F85"/>
    <w:rsid w:val="0088665E"/>
    <w:rsid w:val="00887F48"/>
    <w:rsid w:val="008919BD"/>
    <w:rsid w:val="008923C8"/>
    <w:rsid w:val="008924B5"/>
    <w:rsid w:val="00893260"/>
    <w:rsid w:val="008932A8"/>
    <w:rsid w:val="00893756"/>
    <w:rsid w:val="00894859"/>
    <w:rsid w:val="00894A9E"/>
    <w:rsid w:val="008950F6"/>
    <w:rsid w:val="00896815"/>
    <w:rsid w:val="008A0744"/>
    <w:rsid w:val="008A0A6E"/>
    <w:rsid w:val="008A0D0F"/>
    <w:rsid w:val="008A2FB3"/>
    <w:rsid w:val="008A398B"/>
    <w:rsid w:val="008A444B"/>
    <w:rsid w:val="008A5601"/>
    <w:rsid w:val="008A59AD"/>
    <w:rsid w:val="008B0EEB"/>
    <w:rsid w:val="008B260D"/>
    <w:rsid w:val="008B431D"/>
    <w:rsid w:val="008B51FD"/>
    <w:rsid w:val="008B6766"/>
    <w:rsid w:val="008B7186"/>
    <w:rsid w:val="008B7192"/>
    <w:rsid w:val="008C1939"/>
    <w:rsid w:val="008C3396"/>
    <w:rsid w:val="008C3E7B"/>
    <w:rsid w:val="008C621C"/>
    <w:rsid w:val="008C697C"/>
    <w:rsid w:val="008C7448"/>
    <w:rsid w:val="008C75ED"/>
    <w:rsid w:val="008C7649"/>
    <w:rsid w:val="008D1A6C"/>
    <w:rsid w:val="008D761E"/>
    <w:rsid w:val="008E0565"/>
    <w:rsid w:val="008E0991"/>
    <w:rsid w:val="008E31FE"/>
    <w:rsid w:val="008E338E"/>
    <w:rsid w:val="008E4D60"/>
    <w:rsid w:val="008E57FE"/>
    <w:rsid w:val="008E6C64"/>
    <w:rsid w:val="008F2665"/>
    <w:rsid w:val="008F507E"/>
    <w:rsid w:val="008F5251"/>
    <w:rsid w:val="008F6376"/>
    <w:rsid w:val="008F7B21"/>
    <w:rsid w:val="00900B11"/>
    <w:rsid w:val="00900CC2"/>
    <w:rsid w:val="00901770"/>
    <w:rsid w:val="009019FB"/>
    <w:rsid w:val="00902AA5"/>
    <w:rsid w:val="009033B3"/>
    <w:rsid w:val="009052B7"/>
    <w:rsid w:val="00905674"/>
    <w:rsid w:val="00905B05"/>
    <w:rsid w:val="00906622"/>
    <w:rsid w:val="0090753C"/>
    <w:rsid w:val="00910D78"/>
    <w:rsid w:val="00911B66"/>
    <w:rsid w:val="00912A7E"/>
    <w:rsid w:val="00915330"/>
    <w:rsid w:val="00916E69"/>
    <w:rsid w:val="00917525"/>
    <w:rsid w:val="0091777D"/>
    <w:rsid w:val="00917C39"/>
    <w:rsid w:val="0092057D"/>
    <w:rsid w:val="00920623"/>
    <w:rsid w:val="00920C9D"/>
    <w:rsid w:val="00920D80"/>
    <w:rsid w:val="009218DE"/>
    <w:rsid w:val="00922D00"/>
    <w:rsid w:val="00923F17"/>
    <w:rsid w:val="009266DA"/>
    <w:rsid w:val="00930BC0"/>
    <w:rsid w:val="00930DE8"/>
    <w:rsid w:val="009318DD"/>
    <w:rsid w:val="00932244"/>
    <w:rsid w:val="009338FE"/>
    <w:rsid w:val="00935413"/>
    <w:rsid w:val="00935F5D"/>
    <w:rsid w:val="0093669F"/>
    <w:rsid w:val="009368E0"/>
    <w:rsid w:val="0094260B"/>
    <w:rsid w:val="00942661"/>
    <w:rsid w:val="009446E6"/>
    <w:rsid w:val="00944F76"/>
    <w:rsid w:val="00945307"/>
    <w:rsid w:val="0094558D"/>
    <w:rsid w:val="00946FCE"/>
    <w:rsid w:val="009515BC"/>
    <w:rsid w:val="0095349A"/>
    <w:rsid w:val="00953AB2"/>
    <w:rsid w:val="00953B5B"/>
    <w:rsid w:val="00953ED0"/>
    <w:rsid w:val="0095492E"/>
    <w:rsid w:val="00955F7D"/>
    <w:rsid w:val="0096242F"/>
    <w:rsid w:val="00962E3B"/>
    <w:rsid w:val="00962FF5"/>
    <w:rsid w:val="00964A4E"/>
    <w:rsid w:val="00965B02"/>
    <w:rsid w:val="00965C07"/>
    <w:rsid w:val="00965D2D"/>
    <w:rsid w:val="009708B1"/>
    <w:rsid w:val="00970A16"/>
    <w:rsid w:val="00971847"/>
    <w:rsid w:val="00972964"/>
    <w:rsid w:val="00972E3D"/>
    <w:rsid w:val="00974ECB"/>
    <w:rsid w:val="009774C5"/>
    <w:rsid w:val="0097762F"/>
    <w:rsid w:val="009816B8"/>
    <w:rsid w:val="00981F4D"/>
    <w:rsid w:val="00983B45"/>
    <w:rsid w:val="00983B5C"/>
    <w:rsid w:val="00985881"/>
    <w:rsid w:val="00986709"/>
    <w:rsid w:val="0098766F"/>
    <w:rsid w:val="009906D9"/>
    <w:rsid w:val="009922A0"/>
    <w:rsid w:val="00992B72"/>
    <w:rsid w:val="00993912"/>
    <w:rsid w:val="00994050"/>
    <w:rsid w:val="00995FCA"/>
    <w:rsid w:val="009962CF"/>
    <w:rsid w:val="009969D6"/>
    <w:rsid w:val="00996AB8"/>
    <w:rsid w:val="009A11E9"/>
    <w:rsid w:val="009A4543"/>
    <w:rsid w:val="009A4B84"/>
    <w:rsid w:val="009A5DB1"/>
    <w:rsid w:val="009A7C5A"/>
    <w:rsid w:val="009A7E51"/>
    <w:rsid w:val="009B0AAB"/>
    <w:rsid w:val="009B21B9"/>
    <w:rsid w:val="009B2FAD"/>
    <w:rsid w:val="009B34A2"/>
    <w:rsid w:val="009B4CD0"/>
    <w:rsid w:val="009B4DA7"/>
    <w:rsid w:val="009C21C6"/>
    <w:rsid w:val="009C383B"/>
    <w:rsid w:val="009C3A80"/>
    <w:rsid w:val="009C41EC"/>
    <w:rsid w:val="009C5238"/>
    <w:rsid w:val="009C58BF"/>
    <w:rsid w:val="009D12B4"/>
    <w:rsid w:val="009D1E70"/>
    <w:rsid w:val="009D2135"/>
    <w:rsid w:val="009D2999"/>
    <w:rsid w:val="009D2FA7"/>
    <w:rsid w:val="009D4CAE"/>
    <w:rsid w:val="009D55F9"/>
    <w:rsid w:val="009D5A11"/>
    <w:rsid w:val="009D71E1"/>
    <w:rsid w:val="009D765F"/>
    <w:rsid w:val="009D7760"/>
    <w:rsid w:val="009E16E6"/>
    <w:rsid w:val="009E1E62"/>
    <w:rsid w:val="009E2953"/>
    <w:rsid w:val="009E29F2"/>
    <w:rsid w:val="009E30CE"/>
    <w:rsid w:val="009E4CDF"/>
    <w:rsid w:val="009F04C3"/>
    <w:rsid w:val="009F0760"/>
    <w:rsid w:val="009F2A7C"/>
    <w:rsid w:val="009F3B29"/>
    <w:rsid w:val="009F4860"/>
    <w:rsid w:val="00A00057"/>
    <w:rsid w:val="00A00485"/>
    <w:rsid w:val="00A01A5F"/>
    <w:rsid w:val="00A025AC"/>
    <w:rsid w:val="00A02C96"/>
    <w:rsid w:val="00A02E65"/>
    <w:rsid w:val="00A0340A"/>
    <w:rsid w:val="00A0440C"/>
    <w:rsid w:val="00A047AE"/>
    <w:rsid w:val="00A0585F"/>
    <w:rsid w:val="00A0694A"/>
    <w:rsid w:val="00A077AC"/>
    <w:rsid w:val="00A07A33"/>
    <w:rsid w:val="00A10A30"/>
    <w:rsid w:val="00A1137C"/>
    <w:rsid w:val="00A113D7"/>
    <w:rsid w:val="00A11F0F"/>
    <w:rsid w:val="00A16126"/>
    <w:rsid w:val="00A17605"/>
    <w:rsid w:val="00A20F07"/>
    <w:rsid w:val="00A21C6C"/>
    <w:rsid w:val="00A222C1"/>
    <w:rsid w:val="00A22325"/>
    <w:rsid w:val="00A2365A"/>
    <w:rsid w:val="00A23DAF"/>
    <w:rsid w:val="00A24133"/>
    <w:rsid w:val="00A262BF"/>
    <w:rsid w:val="00A27809"/>
    <w:rsid w:val="00A30533"/>
    <w:rsid w:val="00A317B0"/>
    <w:rsid w:val="00A34591"/>
    <w:rsid w:val="00A34E44"/>
    <w:rsid w:val="00A3640F"/>
    <w:rsid w:val="00A37EC5"/>
    <w:rsid w:val="00A37ECF"/>
    <w:rsid w:val="00A40CE2"/>
    <w:rsid w:val="00A40E5A"/>
    <w:rsid w:val="00A42FAE"/>
    <w:rsid w:val="00A47176"/>
    <w:rsid w:val="00A475C5"/>
    <w:rsid w:val="00A4768C"/>
    <w:rsid w:val="00A50A68"/>
    <w:rsid w:val="00A50D3B"/>
    <w:rsid w:val="00A50E38"/>
    <w:rsid w:val="00A510C6"/>
    <w:rsid w:val="00A518AA"/>
    <w:rsid w:val="00A51EB9"/>
    <w:rsid w:val="00A525E7"/>
    <w:rsid w:val="00A52F9E"/>
    <w:rsid w:val="00A56348"/>
    <w:rsid w:val="00A5703F"/>
    <w:rsid w:val="00A57D39"/>
    <w:rsid w:val="00A6316B"/>
    <w:rsid w:val="00A65316"/>
    <w:rsid w:val="00A6622E"/>
    <w:rsid w:val="00A66ED3"/>
    <w:rsid w:val="00A674FF"/>
    <w:rsid w:val="00A70F69"/>
    <w:rsid w:val="00A72611"/>
    <w:rsid w:val="00A73ABB"/>
    <w:rsid w:val="00A751A1"/>
    <w:rsid w:val="00A76D2C"/>
    <w:rsid w:val="00A77746"/>
    <w:rsid w:val="00A806AA"/>
    <w:rsid w:val="00A83BF6"/>
    <w:rsid w:val="00A84BC7"/>
    <w:rsid w:val="00A87814"/>
    <w:rsid w:val="00A87B4F"/>
    <w:rsid w:val="00A87DD1"/>
    <w:rsid w:val="00A87F31"/>
    <w:rsid w:val="00A90D27"/>
    <w:rsid w:val="00A9103B"/>
    <w:rsid w:val="00A91284"/>
    <w:rsid w:val="00A91316"/>
    <w:rsid w:val="00A918A7"/>
    <w:rsid w:val="00A92871"/>
    <w:rsid w:val="00A94041"/>
    <w:rsid w:val="00A94F70"/>
    <w:rsid w:val="00A955EB"/>
    <w:rsid w:val="00A95A53"/>
    <w:rsid w:val="00A97B80"/>
    <w:rsid w:val="00AA1F49"/>
    <w:rsid w:val="00AA3A2E"/>
    <w:rsid w:val="00AA3B7E"/>
    <w:rsid w:val="00AA3DAF"/>
    <w:rsid w:val="00AA4099"/>
    <w:rsid w:val="00AA6913"/>
    <w:rsid w:val="00AB198C"/>
    <w:rsid w:val="00AB2190"/>
    <w:rsid w:val="00AB39EB"/>
    <w:rsid w:val="00AB3F27"/>
    <w:rsid w:val="00AB3FD9"/>
    <w:rsid w:val="00AB4715"/>
    <w:rsid w:val="00AB7DE7"/>
    <w:rsid w:val="00AC03AB"/>
    <w:rsid w:val="00AC0650"/>
    <w:rsid w:val="00AC1BE7"/>
    <w:rsid w:val="00AC275F"/>
    <w:rsid w:val="00AC3EE4"/>
    <w:rsid w:val="00AC50A4"/>
    <w:rsid w:val="00AC5A95"/>
    <w:rsid w:val="00AC6074"/>
    <w:rsid w:val="00AC6471"/>
    <w:rsid w:val="00AD1751"/>
    <w:rsid w:val="00AD2B6E"/>
    <w:rsid w:val="00AD3443"/>
    <w:rsid w:val="00AD4B3C"/>
    <w:rsid w:val="00AD68A5"/>
    <w:rsid w:val="00AE0CA6"/>
    <w:rsid w:val="00AE185D"/>
    <w:rsid w:val="00AE1BFE"/>
    <w:rsid w:val="00AE3842"/>
    <w:rsid w:val="00AE3AFB"/>
    <w:rsid w:val="00AE3D83"/>
    <w:rsid w:val="00AE4374"/>
    <w:rsid w:val="00AE466A"/>
    <w:rsid w:val="00AE4710"/>
    <w:rsid w:val="00AE485C"/>
    <w:rsid w:val="00AE6FBB"/>
    <w:rsid w:val="00AE7D4F"/>
    <w:rsid w:val="00AE7FE4"/>
    <w:rsid w:val="00AF0117"/>
    <w:rsid w:val="00AF17D3"/>
    <w:rsid w:val="00AF1D77"/>
    <w:rsid w:val="00AF38BA"/>
    <w:rsid w:val="00AF4E63"/>
    <w:rsid w:val="00AF4F67"/>
    <w:rsid w:val="00AF5811"/>
    <w:rsid w:val="00AF5A84"/>
    <w:rsid w:val="00AF6509"/>
    <w:rsid w:val="00B00BBE"/>
    <w:rsid w:val="00B0456E"/>
    <w:rsid w:val="00B06A05"/>
    <w:rsid w:val="00B06BF6"/>
    <w:rsid w:val="00B06F7F"/>
    <w:rsid w:val="00B100F0"/>
    <w:rsid w:val="00B1402E"/>
    <w:rsid w:val="00B14865"/>
    <w:rsid w:val="00B15741"/>
    <w:rsid w:val="00B21D50"/>
    <w:rsid w:val="00B22F9B"/>
    <w:rsid w:val="00B23747"/>
    <w:rsid w:val="00B23E0A"/>
    <w:rsid w:val="00B24090"/>
    <w:rsid w:val="00B257E3"/>
    <w:rsid w:val="00B260C7"/>
    <w:rsid w:val="00B27494"/>
    <w:rsid w:val="00B279B9"/>
    <w:rsid w:val="00B27BFD"/>
    <w:rsid w:val="00B34541"/>
    <w:rsid w:val="00B34F48"/>
    <w:rsid w:val="00B3500D"/>
    <w:rsid w:val="00B373BE"/>
    <w:rsid w:val="00B44675"/>
    <w:rsid w:val="00B46A94"/>
    <w:rsid w:val="00B46C85"/>
    <w:rsid w:val="00B47241"/>
    <w:rsid w:val="00B472DE"/>
    <w:rsid w:val="00B51BA0"/>
    <w:rsid w:val="00B535BD"/>
    <w:rsid w:val="00B53701"/>
    <w:rsid w:val="00B538D2"/>
    <w:rsid w:val="00B54E3B"/>
    <w:rsid w:val="00B56A26"/>
    <w:rsid w:val="00B57BF6"/>
    <w:rsid w:val="00B6110A"/>
    <w:rsid w:val="00B6176A"/>
    <w:rsid w:val="00B627BF"/>
    <w:rsid w:val="00B6301A"/>
    <w:rsid w:val="00B6497F"/>
    <w:rsid w:val="00B64CAD"/>
    <w:rsid w:val="00B651FA"/>
    <w:rsid w:val="00B65763"/>
    <w:rsid w:val="00B66751"/>
    <w:rsid w:val="00B67AA6"/>
    <w:rsid w:val="00B7066C"/>
    <w:rsid w:val="00B717D8"/>
    <w:rsid w:val="00B72DF3"/>
    <w:rsid w:val="00B73606"/>
    <w:rsid w:val="00B73CBF"/>
    <w:rsid w:val="00B74146"/>
    <w:rsid w:val="00B76F6C"/>
    <w:rsid w:val="00B77334"/>
    <w:rsid w:val="00B77F9D"/>
    <w:rsid w:val="00B8080B"/>
    <w:rsid w:val="00B811EF"/>
    <w:rsid w:val="00B831B9"/>
    <w:rsid w:val="00B83C5D"/>
    <w:rsid w:val="00B86EF1"/>
    <w:rsid w:val="00B90674"/>
    <w:rsid w:val="00B90C29"/>
    <w:rsid w:val="00B91FFF"/>
    <w:rsid w:val="00B934E3"/>
    <w:rsid w:val="00B93F73"/>
    <w:rsid w:val="00B94323"/>
    <w:rsid w:val="00B94444"/>
    <w:rsid w:val="00B9566B"/>
    <w:rsid w:val="00B95F92"/>
    <w:rsid w:val="00B961B7"/>
    <w:rsid w:val="00B963D4"/>
    <w:rsid w:val="00B966F5"/>
    <w:rsid w:val="00B9772B"/>
    <w:rsid w:val="00BA2DEF"/>
    <w:rsid w:val="00BA35F2"/>
    <w:rsid w:val="00BA42FB"/>
    <w:rsid w:val="00BA4768"/>
    <w:rsid w:val="00BA4A92"/>
    <w:rsid w:val="00BA516F"/>
    <w:rsid w:val="00BA628C"/>
    <w:rsid w:val="00BA7059"/>
    <w:rsid w:val="00BB0051"/>
    <w:rsid w:val="00BB02C6"/>
    <w:rsid w:val="00BB1082"/>
    <w:rsid w:val="00BB2127"/>
    <w:rsid w:val="00BB314E"/>
    <w:rsid w:val="00BB3805"/>
    <w:rsid w:val="00BB4589"/>
    <w:rsid w:val="00BB52A5"/>
    <w:rsid w:val="00BB5893"/>
    <w:rsid w:val="00BB61A3"/>
    <w:rsid w:val="00BB6740"/>
    <w:rsid w:val="00BB677D"/>
    <w:rsid w:val="00BB7EA1"/>
    <w:rsid w:val="00BB7F81"/>
    <w:rsid w:val="00BC0A00"/>
    <w:rsid w:val="00BC269B"/>
    <w:rsid w:val="00BC27D2"/>
    <w:rsid w:val="00BC37BC"/>
    <w:rsid w:val="00BD35E1"/>
    <w:rsid w:val="00BD54FC"/>
    <w:rsid w:val="00BD63C3"/>
    <w:rsid w:val="00BD65C7"/>
    <w:rsid w:val="00BD67CE"/>
    <w:rsid w:val="00BD76A4"/>
    <w:rsid w:val="00BE1C8A"/>
    <w:rsid w:val="00BE4857"/>
    <w:rsid w:val="00BE51E5"/>
    <w:rsid w:val="00BE53EE"/>
    <w:rsid w:val="00BE5847"/>
    <w:rsid w:val="00BE5BE0"/>
    <w:rsid w:val="00BE64B1"/>
    <w:rsid w:val="00BE697B"/>
    <w:rsid w:val="00BE6B58"/>
    <w:rsid w:val="00BE70E8"/>
    <w:rsid w:val="00BE7DFF"/>
    <w:rsid w:val="00BF0E76"/>
    <w:rsid w:val="00BF145F"/>
    <w:rsid w:val="00BF19DC"/>
    <w:rsid w:val="00BF1EA1"/>
    <w:rsid w:val="00BF22EF"/>
    <w:rsid w:val="00BF2B3E"/>
    <w:rsid w:val="00BF2DAF"/>
    <w:rsid w:val="00BF3CA2"/>
    <w:rsid w:val="00BF4E1B"/>
    <w:rsid w:val="00BF79DE"/>
    <w:rsid w:val="00C00046"/>
    <w:rsid w:val="00C01083"/>
    <w:rsid w:val="00C045E6"/>
    <w:rsid w:val="00C0480F"/>
    <w:rsid w:val="00C05C08"/>
    <w:rsid w:val="00C06135"/>
    <w:rsid w:val="00C1043C"/>
    <w:rsid w:val="00C12A51"/>
    <w:rsid w:val="00C12CD1"/>
    <w:rsid w:val="00C15596"/>
    <w:rsid w:val="00C1591E"/>
    <w:rsid w:val="00C1691C"/>
    <w:rsid w:val="00C173EE"/>
    <w:rsid w:val="00C20D36"/>
    <w:rsid w:val="00C21038"/>
    <w:rsid w:val="00C2286B"/>
    <w:rsid w:val="00C2396B"/>
    <w:rsid w:val="00C25125"/>
    <w:rsid w:val="00C252A4"/>
    <w:rsid w:val="00C26865"/>
    <w:rsid w:val="00C27003"/>
    <w:rsid w:val="00C2785F"/>
    <w:rsid w:val="00C30BA6"/>
    <w:rsid w:val="00C31467"/>
    <w:rsid w:val="00C32C09"/>
    <w:rsid w:val="00C33F0C"/>
    <w:rsid w:val="00C34CCB"/>
    <w:rsid w:val="00C34D57"/>
    <w:rsid w:val="00C35515"/>
    <w:rsid w:val="00C35807"/>
    <w:rsid w:val="00C35A4B"/>
    <w:rsid w:val="00C36696"/>
    <w:rsid w:val="00C36720"/>
    <w:rsid w:val="00C36777"/>
    <w:rsid w:val="00C37518"/>
    <w:rsid w:val="00C37F00"/>
    <w:rsid w:val="00C421C9"/>
    <w:rsid w:val="00C42A3A"/>
    <w:rsid w:val="00C437C6"/>
    <w:rsid w:val="00C441DE"/>
    <w:rsid w:val="00C4517F"/>
    <w:rsid w:val="00C45232"/>
    <w:rsid w:val="00C46E94"/>
    <w:rsid w:val="00C4713F"/>
    <w:rsid w:val="00C50FC3"/>
    <w:rsid w:val="00C52097"/>
    <w:rsid w:val="00C527F3"/>
    <w:rsid w:val="00C52BA5"/>
    <w:rsid w:val="00C52DCF"/>
    <w:rsid w:val="00C52F47"/>
    <w:rsid w:val="00C53323"/>
    <w:rsid w:val="00C540CD"/>
    <w:rsid w:val="00C54D8C"/>
    <w:rsid w:val="00C57493"/>
    <w:rsid w:val="00C6044B"/>
    <w:rsid w:val="00C605E6"/>
    <w:rsid w:val="00C60F80"/>
    <w:rsid w:val="00C64D07"/>
    <w:rsid w:val="00C65679"/>
    <w:rsid w:val="00C66CEF"/>
    <w:rsid w:val="00C670FE"/>
    <w:rsid w:val="00C71087"/>
    <w:rsid w:val="00C71E3C"/>
    <w:rsid w:val="00C73352"/>
    <w:rsid w:val="00C73C17"/>
    <w:rsid w:val="00C75492"/>
    <w:rsid w:val="00C762EE"/>
    <w:rsid w:val="00C77C78"/>
    <w:rsid w:val="00C803D7"/>
    <w:rsid w:val="00C8146C"/>
    <w:rsid w:val="00C8222E"/>
    <w:rsid w:val="00C8231E"/>
    <w:rsid w:val="00C82A97"/>
    <w:rsid w:val="00C846DD"/>
    <w:rsid w:val="00C85CA6"/>
    <w:rsid w:val="00C86173"/>
    <w:rsid w:val="00C87078"/>
    <w:rsid w:val="00C873DA"/>
    <w:rsid w:val="00C90A7F"/>
    <w:rsid w:val="00C9147E"/>
    <w:rsid w:val="00C925ED"/>
    <w:rsid w:val="00C9339F"/>
    <w:rsid w:val="00C946AF"/>
    <w:rsid w:val="00C96A10"/>
    <w:rsid w:val="00C9753B"/>
    <w:rsid w:val="00CA0735"/>
    <w:rsid w:val="00CA0C87"/>
    <w:rsid w:val="00CA13D1"/>
    <w:rsid w:val="00CA19CD"/>
    <w:rsid w:val="00CA47F2"/>
    <w:rsid w:val="00CA48BB"/>
    <w:rsid w:val="00CA4A62"/>
    <w:rsid w:val="00CA561E"/>
    <w:rsid w:val="00CA5B58"/>
    <w:rsid w:val="00CA659E"/>
    <w:rsid w:val="00CA673F"/>
    <w:rsid w:val="00CA738C"/>
    <w:rsid w:val="00CB018E"/>
    <w:rsid w:val="00CB0C61"/>
    <w:rsid w:val="00CB1F50"/>
    <w:rsid w:val="00CB23DD"/>
    <w:rsid w:val="00CB2757"/>
    <w:rsid w:val="00CB2FE7"/>
    <w:rsid w:val="00CB3B57"/>
    <w:rsid w:val="00CB3CB8"/>
    <w:rsid w:val="00CB42AE"/>
    <w:rsid w:val="00CB6768"/>
    <w:rsid w:val="00CB7AD1"/>
    <w:rsid w:val="00CC0CAA"/>
    <w:rsid w:val="00CC17DB"/>
    <w:rsid w:val="00CC2F01"/>
    <w:rsid w:val="00CC6453"/>
    <w:rsid w:val="00CD120F"/>
    <w:rsid w:val="00CD1B7F"/>
    <w:rsid w:val="00CD2D8A"/>
    <w:rsid w:val="00CD31EA"/>
    <w:rsid w:val="00CD47C0"/>
    <w:rsid w:val="00CD5777"/>
    <w:rsid w:val="00CD692F"/>
    <w:rsid w:val="00CD7414"/>
    <w:rsid w:val="00CE0392"/>
    <w:rsid w:val="00CE2303"/>
    <w:rsid w:val="00CE40EE"/>
    <w:rsid w:val="00CE5481"/>
    <w:rsid w:val="00CE5866"/>
    <w:rsid w:val="00CE6A78"/>
    <w:rsid w:val="00CF003F"/>
    <w:rsid w:val="00CF0045"/>
    <w:rsid w:val="00CF4E4E"/>
    <w:rsid w:val="00CF5F53"/>
    <w:rsid w:val="00CF7194"/>
    <w:rsid w:val="00CF7C90"/>
    <w:rsid w:val="00CF7EA0"/>
    <w:rsid w:val="00D00600"/>
    <w:rsid w:val="00D00A29"/>
    <w:rsid w:val="00D016CA"/>
    <w:rsid w:val="00D02347"/>
    <w:rsid w:val="00D02612"/>
    <w:rsid w:val="00D0329F"/>
    <w:rsid w:val="00D04059"/>
    <w:rsid w:val="00D04F9C"/>
    <w:rsid w:val="00D05222"/>
    <w:rsid w:val="00D06299"/>
    <w:rsid w:val="00D1045D"/>
    <w:rsid w:val="00D133AA"/>
    <w:rsid w:val="00D13B0B"/>
    <w:rsid w:val="00D13CCF"/>
    <w:rsid w:val="00D14CF7"/>
    <w:rsid w:val="00D1576E"/>
    <w:rsid w:val="00D15E67"/>
    <w:rsid w:val="00D16388"/>
    <w:rsid w:val="00D20ABB"/>
    <w:rsid w:val="00D24AEE"/>
    <w:rsid w:val="00D2670A"/>
    <w:rsid w:val="00D26A33"/>
    <w:rsid w:val="00D3073E"/>
    <w:rsid w:val="00D31676"/>
    <w:rsid w:val="00D316C8"/>
    <w:rsid w:val="00D337D5"/>
    <w:rsid w:val="00D34817"/>
    <w:rsid w:val="00D35E48"/>
    <w:rsid w:val="00D36513"/>
    <w:rsid w:val="00D365BB"/>
    <w:rsid w:val="00D3795A"/>
    <w:rsid w:val="00D37AB5"/>
    <w:rsid w:val="00D37C2E"/>
    <w:rsid w:val="00D40C74"/>
    <w:rsid w:val="00D43282"/>
    <w:rsid w:val="00D437A2"/>
    <w:rsid w:val="00D43EA4"/>
    <w:rsid w:val="00D44508"/>
    <w:rsid w:val="00D47810"/>
    <w:rsid w:val="00D5128E"/>
    <w:rsid w:val="00D5143A"/>
    <w:rsid w:val="00D51B79"/>
    <w:rsid w:val="00D52FD0"/>
    <w:rsid w:val="00D54385"/>
    <w:rsid w:val="00D60111"/>
    <w:rsid w:val="00D61D82"/>
    <w:rsid w:val="00D62267"/>
    <w:rsid w:val="00D6259C"/>
    <w:rsid w:val="00D63B91"/>
    <w:rsid w:val="00D64A4A"/>
    <w:rsid w:val="00D6679C"/>
    <w:rsid w:val="00D70969"/>
    <w:rsid w:val="00D72F5D"/>
    <w:rsid w:val="00D73EE6"/>
    <w:rsid w:val="00D742D2"/>
    <w:rsid w:val="00D744DC"/>
    <w:rsid w:val="00D75CF7"/>
    <w:rsid w:val="00D75F59"/>
    <w:rsid w:val="00D776C3"/>
    <w:rsid w:val="00D80153"/>
    <w:rsid w:val="00D81AC7"/>
    <w:rsid w:val="00D83E45"/>
    <w:rsid w:val="00D842CD"/>
    <w:rsid w:val="00D8495C"/>
    <w:rsid w:val="00D86737"/>
    <w:rsid w:val="00D8696A"/>
    <w:rsid w:val="00D86F3E"/>
    <w:rsid w:val="00D90F5A"/>
    <w:rsid w:val="00D9153B"/>
    <w:rsid w:val="00D92BFA"/>
    <w:rsid w:val="00D93575"/>
    <w:rsid w:val="00D95903"/>
    <w:rsid w:val="00D95D78"/>
    <w:rsid w:val="00D976E8"/>
    <w:rsid w:val="00DA0810"/>
    <w:rsid w:val="00DA1868"/>
    <w:rsid w:val="00DA3FCE"/>
    <w:rsid w:val="00DB2BE7"/>
    <w:rsid w:val="00DB4203"/>
    <w:rsid w:val="00DB7CA1"/>
    <w:rsid w:val="00DC094F"/>
    <w:rsid w:val="00DC0D36"/>
    <w:rsid w:val="00DC24B5"/>
    <w:rsid w:val="00DC25DA"/>
    <w:rsid w:val="00DC2E7A"/>
    <w:rsid w:val="00DC4C59"/>
    <w:rsid w:val="00DC5149"/>
    <w:rsid w:val="00DC68E1"/>
    <w:rsid w:val="00DC7FCE"/>
    <w:rsid w:val="00DD1B88"/>
    <w:rsid w:val="00DD21B0"/>
    <w:rsid w:val="00DD231D"/>
    <w:rsid w:val="00DD288B"/>
    <w:rsid w:val="00DD334C"/>
    <w:rsid w:val="00DD3C08"/>
    <w:rsid w:val="00DD4431"/>
    <w:rsid w:val="00DD4F66"/>
    <w:rsid w:val="00DE0156"/>
    <w:rsid w:val="00DE0476"/>
    <w:rsid w:val="00DE13B2"/>
    <w:rsid w:val="00DE1B2F"/>
    <w:rsid w:val="00DE1C5A"/>
    <w:rsid w:val="00DE1CBD"/>
    <w:rsid w:val="00DE2AAC"/>
    <w:rsid w:val="00DE5E04"/>
    <w:rsid w:val="00DE6634"/>
    <w:rsid w:val="00DF1125"/>
    <w:rsid w:val="00DF27AC"/>
    <w:rsid w:val="00DF28E7"/>
    <w:rsid w:val="00DF2FD1"/>
    <w:rsid w:val="00DF3977"/>
    <w:rsid w:val="00DF399A"/>
    <w:rsid w:val="00DF447B"/>
    <w:rsid w:val="00DF4830"/>
    <w:rsid w:val="00DF6280"/>
    <w:rsid w:val="00DF7B14"/>
    <w:rsid w:val="00E00009"/>
    <w:rsid w:val="00E01EF4"/>
    <w:rsid w:val="00E02CF2"/>
    <w:rsid w:val="00E04947"/>
    <w:rsid w:val="00E069F7"/>
    <w:rsid w:val="00E06C35"/>
    <w:rsid w:val="00E0710D"/>
    <w:rsid w:val="00E07231"/>
    <w:rsid w:val="00E07F71"/>
    <w:rsid w:val="00E114D8"/>
    <w:rsid w:val="00E11717"/>
    <w:rsid w:val="00E1256E"/>
    <w:rsid w:val="00E1347F"/>
    <w:rsid w:val="00E1621B"/>
    <w:rsid w:val="00E17746"/>
    <w:rsid w:val="00E17955"/>
    <w:rsid w:val="00E21114"/>
    <w:rsid w:val="00E22B84"/>
    <w:rsid w:val="00E26045"/>
    <w:rsid w:val="00E26BDB"/>
    <w:rsid w:val="00E27304"/>
    <w:rsid w:val="00E304D5"/>
    <w:rsid w:val="00E31269"/>
    <w:rsid w:val="00E325A3"/>
    <w:rsid w:val="00E33084"/>
    <w:rsid w:val="00E337F5"/>
    <w:rsid w:val="00E339E4"/>
    <w:rsid w:val="00E34EBC"/>
    <w:rsid w:val="00E37211"/>
    <w:rsid w:val="00E37848"/>
    <w:rsid w:val="00E4034D"/>
    <w:rsid w:val="00E404B3"/>
    <w:rsid w:val="00E41EE7"/>
    <w:rsid w:val="00E42084"/>
    <w:rsid w:val="00E44854"/>
    <w:rsid w:val="00E52DF1"/>
    <w:rsid w:val="00E55808"/>
    <w:rsid w:val="00E559EA"/>
    <w:rsid w:val="00E5696D"/>
    <w:rsid w:val="00E56E45"/>
    <w:rsid w:val="00E6161C"/>
    <w:rsid w:val="00E62DEC"/>
    <w:rsid w:val="00E62FDC"/>
    <w:rsid w:val="00E63233"/>
    <w:rsid w:val="00E63FE6"/>
    <w:rsid w:val="00E65960"/>
    <w:rsid w:val="00E65F8A"/>
    <w:rsid w:val="00E66ECB"/>
    <w:rsid w:val="00E67390"/>
    <w:rsid w:val="00E67486"/>
    <w:rsid w:val="00E727CE"/>
    <w:rsid w:val="00E73897"/>
    <w:rsid w:val="00E73D84"/>
    <w:rsid w:val="00E749E1"/>
    <w:rsid w:val="00E8007A"/>
    <w:rsid w:val="00E80565"/>
    <w:rsid w:val="00E80578"/>
    <w:rsid w:val="00E80B43"/>
    <w:rsid w:val="00E822F4"/>
    <w:rsid w:val="00E82C9A"/>
    <w:rsid w:val="00E833CB"/>
    <w:rsid w:val="00E83995"/>
    <w:rsid w:val="00E83CBA"/>
    <w:rsid w:val="00E83D2E"/>
    <w:rsid w:val="00E83FB2"/>
    <w:rsid w:val="00E844D4"/>
    <w:rsid w:val="00E84643"/>
    <w:rsid w:val="00E850FF"/>
    <w:rsid w:val="00E87250"/>
    <w:rsid w:val="00E90615"/>
    <w:rsid w:val="00E90D65"/>
    <w:rsid w:val="00E91FE0"/>
    <w:rsid w:val="00E9553F"/>
    <w:rsid w:val="00E95AC2"/>
    <w:rsid w:val="00E97147"/>
    <w:rsid w:val="00E97167"/>
    <w:rsid w:val="00E97787"/>
    <w:rsid w:val="00E97DBB"/>
    <w:rsid w:val="00E97F4E"/>
    <w:rsid w:val="00EA00E5"/>
    <w:rsid w:val="00EA0169"/>
    <w:rsid w:val="00EA093A"/>
    <w:rsid w:val="00EA3781"/>
    <w:rsid w:val="00EA5023"/>
    <w:rsid w:val="00EA7061"/>
    <w:rsid w:val="00EA7C5B"/>
    <w:rsid w:val="00EB13FE"/>
    <w:rsid w:val="00EB254B"/>
    <w:rsid w:val="00EB39F1"/>
    <w:rsid w:val="00EB460F"/>
    <w:rsid w:val="00EB472E"/>
    <w:rsid w:val="00EB5434"/>
    <w:rsid w:val="00EB5D6C"/>
    <w:rsid w:val="00EB6A9B"/>
    <w:rsid w:val="00EB76D6"/>
    <w:rsid w:val="00EC0178"/>
    <w:rsid w:val="00EC049F"/>
    <w:rsid w:val="00EC11E3"/>
    <w:rsid w:val="00EC3667"/>
    <w:rsid w:val="00EC5DA9"/>
    <w:rsid w:val="00ED024E"/>
    <w:rsid w:val="00ED073C"/>
    <w:rsid w:val="00ED194C"/>
    <w:rsid w:val="00ED2742"/>
    <w:rsid w:val="00ED2C26"/>
    <w:rsid w:val="00ED3898"/>
    <w:rsid w:val="00ED39A8"/>
    <w:rsid w:val="00ED5EC2"/>
    <w:rsid w:val="00EE013A"/>
    <w:rsid w:val="00EE0DF2"/>
    <w:rsid w:val="00EE1124"/>
    <w:rsid w:val="00EE21DD"/>
    <w:rsid w:val="00EE3923"/>
    <w:rsid w:val="00EE56DF"/>
    <w:rsid w:val="00EE5CCC"/>
    <w:rsid w:val="00EE5ED7"/>
    <w:rsid w:val="00EE64CC"/>
    <w:rsid w:val="00EE6D6B"/>
    <w:rsid w:val="00EE7E6B"/>
    <w:rsid w:val="00EF0533"/>
    <w:rsid w:val="00EF1A24"/>
    <w:rsid w:val="00EF1BF1"/>
    <w:rsid w:val="00EF3D25"/>
    <w:rsid w:val="00EF4F75"/>
    <w:rsid w:val="00EF71E1"/>
    <w:rsid w:val="00F0194D"/>
    <w:rsid w:val="00F01BD5"/>
    <w:rsid w:val="00F024DC"/>
    <w:rsid w:val="00F024E3"/>
    <w:rsid w:val="00F0264E"/>
    <w:rsid w:val="00F02815"/>
    <w:rsid w:val="00F03084"/>
    <w:rsid w:val="00F05EAF"/>
    <w:rsid w:val="00F06D7C"/>
    <w:rsid w:val="00F1049D"/>
    <w:rsid w:val="00F119F0"/>
    <w:rsid w:val="00F12E87"/>
    <w:rsid w:val="00F131A5"/>
    <w:rsid w:val="00F147FD"/>
    <w:rsid w:val="00F15FC1"/>
    <w:rsid w:val="00F166CE"/>
    <w:rsid w:val="00F17762"/>
    <w:rsid w:val="00F205C0"/>
    <w:rsid w:val="00F21D69"/>
    <w:rsid w:val="00F2365A"/>
    <w:rsid w:val="00F23C5A"/>
    <w:rsid w:val="00F23E91"/>
    <w:rsid w:val="00F261BC"/>
    <w:rsid w:val="00F277D4"/>
    <w:rsid w:val="00F27FED"/>
    <w:rsid w:val="00F30ACE"/>
    <w:rsid w:val="00F31104"/>
    <w:rsid w:val="00F31F02"/>
    <w:rsid w:val="00F33E65"/>
    <w:rsid w:val="00F34E93"/>
    <w:rsid w:val="00F372C1"/>
    <w:rsid w:val="00F37C6B"/>
    <w:rsid w:val="00F40B2C"/>
    <w:rsid w:val="00F43F5A"/>
    <w:rsid w:val="00F44511"/>
    <w:rsid w:val="00F4474B"/>
    <w:rsid w:val="00F450BA"/>
    <w:rsid w:val="00F452A1"/>
    <w:rsid w:val="00F468EC"/>
    <w:rsid w:val="00F5097D"/>
    <w:rsid w:val="00F513E5"/>
    <w:rsid w:val="00F5219B"/>
    <w:rsid w:val="00F53138"/>
    <w:rsid w:val="00F534C0"/>
    <w:rsid w:val="00F53C6A"/>
    <w:rsid w:val="00F53D6A"/>
    <w:rsid w:val="00F54930"/>
    <w:rsid w:val="00F5523B"/>
    <w:rsid w:val="00F56C5D"/>
    <w:rsid w:val="00F60997"/>
    <w:rsid w:val="00F623B6"/>
    <w:rsid w:val="00F6280F"/>
    <w:rsid w:val="00F62819"/>
    <w:rsid w:val="00F6394B"/>
    <w:rsid w:val="00F6653B"/>
    <w:rsid w:val="00F66C27"/>
    <w:rsid w:val="00F708D9"/>
    <w:rsid w:val="00F720FB"/>
    <w:rsid w:val="00F721C2"/>
    <w:rsid w:val="00F76CBD"/>
    <w:rsid w:val="00F77583"/>
    <w:rsid w:val="00F80602"/>
    <w:rsid w:val="00F81376"/>
    <w:rsid w:val="00F82D3A"/>
    <w:rsid w:val="00F84C20"/>
    <w:rsid w:val="00F85FA6"/>
    <w:rsid w:val="00F87614"/>
    <w:rsid w:val="00F92112"/>
    <w:rsid w:val="00F9230A"/>
    <w:rsid w:val="00F92366"/>
    <w:rsid w:val="00F92753"/>
    <w:rsid w:val="00F93F2C"/>
    <w:rsid w:val="00F94C26"/>
    <w:rsid w:val="00F9598E"/>
    <w:rsid w:val="00F96B32"/>
    <w:rsid w:val="00F9735A"/>
    <w:rsid w:val="00FA39BD"/>
    <w:rsid w:val="00FA42F4"/>
    <w:rsid w:val="00FA6502"/>
    <w:rsid w:val="00FA7DFF"/>
    <w:rsid w:val="00FB0730"/>
    <w:rsid w:val="00FB0BC1"/>
    <w:rsid w:val="00FB0E1C"/>
    <w:rsid w:val="00FB14A0"/>
    <w:rsid w:val="00FB1B7B"/>
    <w:rsid w:val="00FB1BC4"/>
    <w:rsid w:val="00FB258B"/>
    <w:rsid w:val="00FB4E4A"/>
    <w:rsid w:val="00FB6D3A"/>
    <w:rsid w:val="00FB7924"/>
    <w:rsid w:val="00FB7F35"/>
    <w:rsid w:val="00FC11D6"/>
    <w:rsid w:val="00FC3F8E"/>
    <w:rsid w:val="00FC4370"/>
    <w:rsid w:val="00FC48DD"/>
    <w:rsid w:val="00FC569E"/>
    <w:rsid w:val="00FC65F6"/>
    <w:rsid w:val="00FC67E5"/>
    <w:rsid w:val="00FC6BFF"/>
    <w:rsid w:val="00FC7B5F"/>
    <w:rsid w:val="00FD04EB"/>
    <w:rsid w:val="00FD1036"/>
    <w:rsid w:val="00FD131D"/>
    <w:rsid w:val="00FD16C0"/>
    <w:rsid w:val="00FD5177"/>
    <w:rsid w:val="00FD5DD6"/>
    <w:rsid w:val="00FE07E5"/>
    <w:rsid w:val="00FE1F81"/>
    <w:rsid w:val="00FE35E1"/>
    <w:rsid w:val="00FE35E8"/>
    <w:rsid w:val="00FE3AFC"/>
    <w:rsid w:val="00FE4ECF"/>
    <w:rsid w:val="00FE6460"/>
    <w:rsid w:val="00FE6D86"/>
    <w:rsid w:val="00FF0DA7"/>
    <w:rsid w:val="00FF1AE4"/>
    <w:rsid w:val="00FF3276"/>
    <w:rsid w:val="00FF4180"/>
    <w:rsid w:val="00FF4397"/>
    <w:rsid w:val="00FF598A"/>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25FB86"/>
  <w15:docId w15:val="{7F1D82C7-F6C1-4D5A-A589-BA649AEA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ft,Podrozdział,Char,f,fn"/>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Bullets,List Paragraph1,Akapit z listą BS,List Paragraph 1,Scriptoria bullet points,Абзац списка,List Square,Colorful List - Accent 11,Dot pt,F5 List Paragraph,List Paragraph Char Char Char,Bullet 1,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ft Char,Char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WB Para Char,Bullets Char,List Paragraph1 Char,Akapit z listą BS Char,List Paragraph 1 Char,Scriptoria bullet points Char,Абзац списка Char,List Square Char,Colorful List - Accent 1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customStyle="1" w:styleId="Char2">
    <w:name w:val="Char2"/>
    <w:basedOn w:val="Normal"/>
    <w:link w:val="FootnoteReference"/>
    <w:uiPriority w:val="99"/>
    <w:rsid w:val="00844F9B"/>
    <w:pPr>
      <w:spacing w:after="160" w:line="240" w:lineRule="exact"/>
    </w:pPr>
    <w:rPr>
      <w:vertAlign w:val="superscript"/>
      <w:lang w:val="en-GB" w:eastAsia="en-GB"/>
    </w:rPr>
  </w:style>
  <w:style w:type="character" w:customStyle="1" w:styleId="validationrule">
    <w:name w:val="validation_rule"/>
    <w:basedOn w:val="DefaultParagraphFont"/>
    <w:rsid w:val="00844F9B"/>
  </w:style>
  <w:style w:type="character" w:customStyle="1" w:styleId="formatdata">
    <w:name w:val="format_data"/>
    <w:basedOn w:val="DefaultParagraphFont"/>
    <w:rsid w:val="00844F9B"/>
  </w:style>
  <w:style w:type="paragraph" w:customStyle="1" w:styleId="MediumGrid1-Accent21">
    <w:name w:val="Medium Grid 1 - Accent 21"/>
    <w:basedOn w:val="Normal"/>
    <w:uiPriority w:val="34"/>
    <w:qFormat/>
    <w:rsid w:val="00844F9B"/>
    <w:pPr>
      <w:ind w:left="720"/>
    </w:pPr>
    <w:rPr>
      <w:sz w:val="24"/>
      <w:szCs w:val="24"/>
    </w:rPr>
  </w:style>
  <w:style w:type="paragraph" w:styleId="NormalWeb">
    <w:name w:val="Normal (Web)"/>
    <w:basedOn w:val="Normal"/>
    <w:uiPriority w:val="99"/>
    <w:unhideWhenUsed/>
    <w:rsid w:val="00CD1B7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80010277">
      <w:bodyDiv w:val="1"/>
      <w:marLeft w:val="0"/>
      <w:marRight w:val="0"/>
      <w:marTop w:val="0"/>
      <w:marBottom w:val="0"/>
      <w:divBdr>
        <w:top w:val="none" w:sz="0" w:space="0" w:color="auto"/>
        <w:left w:val="none" w:sz="0" w:space="0" w:color="auto"/>
        <w:bottom w:val="none" w:sz="0" w:space="0" w:color="auto"/>
        <w:right w:val="none" w:sz="0" w:space="0" w:color="auto"/>
      </w:divBdr>
    </w:div>
    <w:div w:id="1032220005">
      <w:bodyDiv w:val="1"/>
      <w:marLeft w:val="0"/>
      <w:marRight w:val="0"/>
      <w:marTop w:val="0"/>
      <w:marBottom w:val="0"/>
      <w:divBdr>
        <w:top w:val="none" w:sz="0" w:space="0" w:color="auto"/>
        <w:left w:val="none" w:sz="0" w:space="0" w:color="auto"/>
        <w:bottom w:val="none" w:sz="0" w:space="0" w:color="auto"/>
        <w:right w:val="none" w:sz="0" w:space="0" w:color="auto"/>
      </w:divBdr>
      <w:divsChild>
        <w:div w:id="343476193">
          <w:marLeft w:val="0"/>
          <w:marRight w:val="0"/>
          <w:marTop w:val="0"/>
          <w:marBottom w:val="0"/>
          <w:divBdr>
            <w:top w:val="none" w:sz="0" w:space="0" w:color="auto"/>
            <w:left w:val="none" w:sz="0" w:space="0" w:color="auto"/>
            <w:bottom w:val="none" w:sz="0" w:space="0" w:color="auto"/>
            <w:right w:val="none" w:sz="0" w:space="0" w:color="auto"/>
          </w:divBdr>
          <w:divsChild>
            <w:div w:id="1187715384">
              <w:marLeft w:val="0"/>
              <w:marRight w:val="0"/>
              <w:marTop w:val="0"/>
              <w:marBottom w:val="0"/>
              <w:divBdr>
                <w:top w:val="none" w:sz="0" w:space="0" w:color="auto"/>
                <w:left w:val="none" w:sz="0" w:space="0" w:color="auto"/>
                <w:bottom w:val="none" w:sz="0" w:space="0" w:color="auto"/>
                <w:right w:val="none" w:sz="0" w:space="0" w:color="auto"/>
              </w:divBdr>
              <w:divsChild>
                <w:div w:id="1271821105">
                  <w:marLeft w:val="0"/>
                  <w:marRight w:val="0"/>
                  <w:marTop w:val="0"/>
                  <w:marBottom w:val="0"/>
                  <w:divBdr>
                    <w:top w:val="none" w:sz="0" w:space="0" w:color="auto"/>
                    <w:left w:val="none" w:sz="0" w:space="0" w:color="auto"/>
                    <w:bottom w:val="none" w:sz="0" w:space="0" w:color="auto"/>
                    <w:right w:val="none" w:sz="0" w:space="0" w:color="auto"/>
                  </w:divBdr>
                  <w:divsChild>
                    <w:div w:id="1406150254">
                      <w:marLeft w:val="0"/>
                      <w:marRight w:val="0"/>
                      <w:marTop w:val="0"/>
                      <w:marBottom w:val="0"/>
                      <w:divBdr>
                        <w:top w:val="none" w:sz="0" w:space="0" w:color="auto"/>
                        <w:left w:val="none" w:sz="0" w:space="0" w:color="auto"/>
                        <w:bottom w:val="none" w:sz="0" w:space="0" w:color="auto"/>
                        <w:right w:val="none" w:sz="0" w:space="0" w:color="auto"/>
                      </w:divBdr>
                      <w:divsChild>
                        <w:div w:id="947201743">
                          <w:marLeft w:val="0"/>
                          <w:marRight w:val="0"/>
                          <w:marTop w:val="0"/>
                          <w:marBottom w:val="0"/>
                          <w:divBdr>
                            <w:top w:val="none" w:sz="0" w:space="0" w:color="auto"/>
                            <w:left w:val="none" w:sz="0" w:space="0" w:color="auto"/>
                            <w:bottom w:val="none" w:sz="0" w:space="0" w:color="auto"/>
                            <w:right w:val="none" w:sz="0" w:space="0" w:color="auto"/>
                          </w:divBdr>
                          <w:divsChild>
                            <w:div w:id="1673413611">
                              <w:marLeft w:val="0"/>
                              <w:marRight w:val="0"/>
                              <w:marTop w:val="0"/>
                              <w:marBottom w:val="0"/>
                              <w:divBdr>
                                <w:top w:val="none" w:sz="0" w:space="0" w:color="auto"/>
                                <w:left w:val="none" w:sz="0" w:space="0" w:color="auto"/>
                                <w:bottom w:val="none" w:sz="0" w:space="0" w:color="auto"/>
                                <w:right w:val="none" w:sz="0" w:space="0" w:color="auto"/>
                              </w:divBdr>
                              <w:divsChild>
                                <w:div w:id="236206330">
                                  <w:marLeft w:val="0"/>
                                  <w:marRight w:val="0"/>
                                  <w:marTop w:val="0"/>
                                  <w:marBottom w:val="0"/>
                                  <w:divBdr>
                                    <w:top w:val="none" w:sz="0" w:space="0" w:color="auto"/>
                                    <w:left w:val="none" w:sz="0" w:space="0" w:color="auto"/>
                                    <w:bottom w:val="none" w:sz="0" w:space="0" w:color="auto"/>
                                    <w:right w:val="none" w:sz="0" w:space="0" w:color="auto"/>
                                  </w:divBdr>
                                  <w:divsChild>
                                    <w:div w:id="984966582">
                                      <w:marLeft w:val="0"/>
                                      <w:marRight w:val="0"/>
                                      <w:marTop w:val="0"/>
                                      <w:marBottom w:val="0"/>
                                      <w:divBdr>
                                        <w:top w:val="none" w:sz="0" w:space="0" w:color="auto"/>
                                        <w:left w:val="none" w:sz="0" w:space="0" w:color="auto"/>
                                        <w:bottom w:val="none" w:sz="0" w:space="0" w:color="auto"/>
                                        <w:right w:val="none" w:sz="0" w:space="0" w:color="auto"/>
                                      </w:divBdr>
                                      <w:divsChild>
                                        <w:div w:id="64230126">
                                          <w:marLeft w:val="0"/>
                                          <w:marRight w:val="0"/>
                                          <w:marTop w:val="0"/>
                                          <w:marBottom w:val="0"/>
                                          <w:divBdr>
                                            <w:top w:val="none" w:sz="0" w:space="0" w:color="auto"/>
                                            <w:left w:val="none" w:sz="0" w:space="0" w:color="auto"/>
                                            <w:bottom w:val="none" w:sz="0" w:space="0" w:color="auto"/>
                                            <w:right w:val="none" w:sz="0" w:space="0" w:color="auto"/>
                                          </w:divBdr>
                                          <w:divsChild>
                                            <w:div w:id="131291619">
                                              <w:marLeft w:val="0"/>
                                              <w:marRight w:val="0"/>
                                              <w:marTop w:val="0"/>
                                              <w:marBottom w:val="0"/>
                                              <w:divBdr>
                                                <w:top w:val="none" w:sz="0" w:space="0" w:color="auto"/>
                                                <w:left w:val="none" w:sz="0" w:space="0" w:color="auto"/>
                                                <w:bottom w:val="none" w:sz="0" w:space="0" w:color="auto"/>
                                                <w:right w:val="none" w:sz="0" w:space="0" w:color="auto"/>
                                              </w:divBdr>
                                              <w:divsChild>
                                                <w:div w:id="13214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601664">
      <w:bodyDiv w:val="1"/>
      <w:marLeft w:val="0"/>
      <w:marRight w:val="0"/>
      <w:marTop w:val="0"/>
      <w:marBottom w:val="0"/>
      <w:divBdr>
        <w:top w:val="none" w:sz="0" w:space="0" w:color="auto"/>
        <w:left w:val="none" w:sz="0" w:space="0" w:color="auto"/>
        <w:bottom w:val="none" w:sz="0" w:space="0" w:color="auto"/>
        <w:right w:val="none" w:sz="0" w:space="0" w:color="auto"/>
      </w:divBdr>
    </w:div>
    <w:div w:id="1128477918">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7">
          <w:marLeft w:val="1166"/>
          <w:marRight w:val="0"/>
          <w:marTop w:val="115"/>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21294753">
      <w:bodyDiv w:val="1"/>
      <w:marLeft w:val="0"/>
      <w:marRight w:val="0"/>
      <w:marTop w:val="0"/>
      <w:marBottom w:val="0"/>
      <w:divBdr>
        <w:top w:val="none" w:sz="0" w:space="0" w:color="auto"/>
        <w:left w:val="none" w:sz="0" w:space="0" w:color="auto"/>
        <w:bottom w:val="none" w:sz="0" w:space="0" w:color="auto"/>
        <w:right w:val="none" w:sz="0" w:space="0" w:color="auto"/>
      </w:divBdr>
    </w:div>
    <w:div w:id="1626499635">
      <w:bodyDiv w:val="1"/>
      <w:marLeft w:val="0"/>
      <w:marRight w:val="0"/>
      <w:marTop w:val="0"/>
      <w:marBottom w:val="0"/>
      <w:divBdr>
        <w:top w:val="none" w:sz="0" w:space="0" w:color="auto"/>
        <w:left w:val="none" w:sz="0" w:space="0" w:color="auto"/>
        <w:bottom w:val="none" w:sz="0" w:space="0" w:color="auto"/>
        <w:right w:val="none" w:sz="0" w:space="0" w:color="auto"/>
      </w:divBdr>
      <w:divsChild>
        <w:div w:id="44452755">
          <w:marLeft w:val="0"/>
          <w:marRight w:val="0"/>
          <w:marTop w:val="0"/>
          <w:marBottom w:val="0"/>
          <w:divBdr>
            <w:top w:val="none" w:sz="0" w:space="0" w:color="auto"/>
            <w:left w:val="none" w:sz="0" w:space="0" w:color="auto"/>
            <w:bottom w:val="none" w:sz="0" w:space="0" w:color="auto"/>
            <w:right w:val="none" w:sz="0" w:space="0" w:color="auto"/>
          </w:divBdr>
        </w:div>
        <w:div w:id="118113815">
          <w:marLeft w:val="0"/>
          <w:marRight w:val="0"/>
          <w:marTop w:val="0"/>
          <w:marBottom w:val="0"/>
          <w:divBdr>
            <w:top w:val="none" w:sz="0" w:space="0" w:color="auto"/>
            <w:left w:val="none" w:sz="0" w:space="0" w:color="auto"/>
            <w:bottom w:val="none" w:sz="0" w:space="0" w:color="auto"/>
            <w:right w:val="none" w:sz="0" w:space="0" w:color="auto"/>
          </w:divBdr>
        </w:div>
        <w:div w:id="190459229">
          <w:marLeft w:val="0"/>
          <w:marRight w:val="0"/>
          <w:marTop w:val="0"/>
          <w:marBottom w:val="0"/>
          <w:divBdr>
            <w:top w:val="none" w:sz="0" w:space="0" w:color="auto"/>
            <w:left w:val="none" w:sz="0" w:space="0" w:color="auto"/>
            <w:bottom w:val="none" w:sz="0" w:space="0" w:color="auto"/>
            <w:right w:val="none" w:sz="0" w:space="0" w:color="auto"/>
          </w:divBdr>
        </w:div>
        <w:div w:id="253519850">
          <w:marLeft w:val="0"/>
          <w:marRight w:val="0"/>
          <w:marTop w:val="0"/>
          <w:marBottom w:val="0"/>
          <w:divBdr>
            <w:top w:val="none" w:sz="0" w:space="0" w:color="auto"/>
            <w:left w:val="none" w:sz="0" w:space="0" w:color="auto"/>
            <w:bottom w:val="none" w:sz="0" w:space="0" w:color="auto"/>
            <w:right w:val="none" w:sz="0" w:space="0" w:color="auto"/>
          </w:divBdr>
        </w:div>
        <w:div w:id="255753159">
          <w:marLeft w:val="0"/>
          <w:marRight w:val="0"/>
          <w:marTop w:val="0"/>
          <w:marBottom w:val="0"/>
          <w:divBdr>
            <w:top w:val="none" w:sz="0" w:space="0" w:color="auto"/>
            <w:left w:val="none" w:sz="0" w:space="0" w:color="auto"/>
            <w:bottom w:val="none" w:sz="0" w:space="0" w:color="auto"/>
            <w:right w:val="none" w:sz="0" w:space="0" w:color="auto"/>
          </w:divBdr>
        </w:div>
        <w:div w:id="353727724">
          <w:marLeft w:val="0"/>
          <w:marRight w:val="0"/>
          <w:marTop w:val="0"/>
          <w:marBottom w:val="0"/>
          <w:divBdr>
            <w:top w:val="none" w:sz="0" w:space="0" w:color="auto"/>
            <w:left w:val="none" w:sz="0" w:space="0" w:color="auto"/>
            <w:bottom w:val="none" w:sz="0" w:space="0" w:color="auto"/>
            <w:right w:val="none" w:sz="0" w:space="0" w:color="auto"/>
          </w:divBdr>
        </w:div>
        <w:div w:id="353967676">
          <w:marLeft w:val="0"/>
          <w:marRight w:val="0"/>
          <w:marTop w:val="0"/>
          <w:marBottom w:val="0"/>
          <w:divBdr>
            <w:top w:val="none" w:sz="0" w:space="0" w:color="auto"/>
            <w:left w:val="none" w:sz="0" w:space="0" w:color="auto"/>
            <w:bottom w:val="none" w:sz="0" w:space="0" w:color="auto"/>
            <w:right w:val="none" w:sz="0" w:space="0" w:color="auto"/>
          </w:divBdr>
        </w:div>
        <w:div w:id="366292732">
          <w:marLeft w:val="0"/>
          <w:marRight w:val="0"/>
          <w:marTop w:val="0"/>
          <w:marBottom w:val="0"/>
          <w:divBdr>
            <w:top w:val="none" w:sz="0" w:space="0" w:color="auto"/>
            <w:left w:val="none" w:sz="0" w:space="0" w:color="auto"/>
            <w:bottom w:val="none" w:sz="0" w:space="0" w:color="auto"/>
            <w:right w:val="none" w:sz="0" w:space="0" w:color="auto"/>
          </w:divBdr>
        </w:div>
        <w:div w:id="481889710">
          <w:marLeft w:val="0"/>
          <w:marRight w:val="0"/>
          <w:marTop w:val="0"/>
          <w:marBottom w:val="0"/>
          <w:divBdr>
            <w:top w:val="none" w:sz="0" w:space="0" w:color="auto"/>
            <w:left w:val="none" w:sz="0" w:space="0" w:color="auto"/>
            <w:bottom w:val="none" w:sz="0" w:space="0" w:color="auto"/>
            <w:right w:val="none" w:sz="0" w:space="0" w:color="auto"/>
          </w:divBdr>
        </w:div>
        <w:div w:id="506794179">
          <w:marLeft w:val="0"/>
          <w:marRight w:val="0"/>
          <w:marTop w:val="0"/>
          <w:marBottom w:val="0"/>
          <w:divBdr>
            <w:top w:val="none" w:sz="0" w:space="0" w:color="auto"/>
            <w:left w:val="none" w:sz="0" w:space="0" w:color="auto"/>
            <w:bottom w:val="none" w:sz="0" w:space="0" w:color="auto"/>
            <w:right w:val="none" w:sz="0" w:space="0" w:color="auto"/>
          </w:divBdr>
        </w:div>
        <w:div w:id="530994495">
          <w:marLeft w:val="0"/>
          <w:marRight w:val="0"/>
          <w:marTop w:val="0"/>
          <w:marBottom w:val="0"/>
          <w:divBdr>
            <w:top w:val="none" w:sz="0" w:space="0" w:color="auto"/>
            <w:left w:val="none" w:sz="0" w:space="0" w:color="auto"/>
            <w:bottom w:val="none" w:sz="0" w:space="0" w:color="auto"/>
            <w:right w:val="none" w:sz="0" w:space="0" w:color="auto"/>
          </w:divBdr>
        </w:div>
        <w:div w:id="575943007">
          <w:marLeft w:val="0"/>
          <w:marRight w:val="0"/>
          <w:marTop w:val="0"/>
          <w:marBottom w:val="0"/>
          <w:divBdr>
            <w:top w:val="none" w:sz="0" w:space="0" w:color="auto"/>
            <w:left w:val="none" w:sz="0" w:space="0" w:color="auto"/>
            <w:bottom w:val="none" w:sz="0" w:space="0" w:color="auto"/>
            <w:right w:val="none" w:sz="0" w:space="0" w:color="auto"/>
          </w:divBdr>
        </w:div>
        <w:div w:id="599408135">
          <w:marLeft w:val="0"/>
          <w:marRight w:val="0"/>
          <w:marTop w:val="0"/>
          <w:marBottom w:val="0"/>
          <w:divBdr>
            <w:top w:val="none" w:sz="0" w:space="0" w:color="auto"/>
            <w:left w:val="none" w:sz="0" w:space="0" w:color="auto"/>
            <w:bottom w:val="none" w:sz="0" w:space="0" w:color="auto"/>
            <w:right w:val="none" w:sz="0" w:space="0" w:color="auto"/>
          </w:divBdr>
        </w:div>
        <w:div w:id="718822455">
          <w:marLeft w:val="0"/>
          <w:marRight w:val="0"/>
          <w:marTop w:val="0"/>
          <w:marBottom w:val="0"/>
          <w:divBdr>
            <w:top w:val="none" w:sz="0" w:space="0" w:color="auto"/>
            <w:left w:val="none" w:sz="0" w:space="0" w:color="auto"/>
            <w:bottom w:val="none" w:sz="0" w:space="0" w:color="auto"/>
            <w:right w:val="none" w:sz="0" w:space="0" w:color="auto"/>
          </w:divBdr>
        </w:div>
        <w:div w:id="795879001">
          <w:marLeft w:val="0"/>
          <w:marRight w:val="0"/>
          <w:marTop w:val="0"/>
          <w:marBottom w:val="0"/>
          <w:divBdr>
            <w:top w:val="none" w:sz="0" w:space="0" w:color="auto"/>
            <w:left w:val="none" w:sz="0" w:space="0" w:color="auto"/>
            <w:bottom w:val="none" w:sz="0" w:space="0" w:color="auto"/>
            <w:right w:val="none" w:sz="0" w:space="0" w:color="auto"/>
          </w:divBdr>
        </w:div>
        <w:div w:id="853761422">
          <w:marLeft w:val="0"/>
          <w:marRight w:val="0"/>
          <w:marTop w:val="0"/>
          <w:marBottom w:val="0"/>
          <w:divBdr>
            <w:top w:val="none" w:sz="0" w:space="0" w:color="auto"/>
            <w:left w:val="none" w:sz="0" w:space="0" w:color="auto"/>
            <w:bottom w:val="none" w:sz="0" w:space="0" w:color="auto"/>
            <w:right w:val="none" w:sz="0" w:space="0" w:color="auto"/>
          </w:divBdr>
        </w:div>
        <w:div w:id="862790407">
          <w:marLeft w:val="0"/>
          <w:marRight w:val="0"/>
          <w:marTop w:val="0"/>
          <w:marBottom w:val="0"/>
          <w:divBdr>
            <w:top w:val="none" w:sz="0" w:space="0" w:color="auto"/>
            <w:left w:val="none" w:sz="0" w:space="0" w:color="auto"/>
            <w:bottom w:val="none" w:sz="0" w:space="0" w:color="auto"/>
            <w:right w:val="none" w:sz="0" w:space="0" w:color="auto"/>
          </w:divBdr>
        </w:div>
        <w:div w:id="902640255">
          <w:marLeft w:val="0"/>
          <w:marRight w:val="0"/>
          <w:marTop w:val="0"/>
          <w:marBottom w:val="0"/>
          <w:divBdr>
            <w:top w:val="none" w:sz="0" w:space="0" w:color="auto"/>
            <w:left w:val="none" w:sz="0" w:space="0" w:color="auto"/>
            <w:bottom w:val="none" w:sz="0" w:space="0" w:color="auto"/>
            <w:right w:val="none" w:sz="0" w:space="0" w:color="auto"/>
          </w:divBdr>
        </w:div>
        <w:div w:id="907691562">
          <w:marLeft w:val="0"/>
          <w:marRight w:val="0"/>
          <w:marTop w:val="0"/>
          <w:marBottom w:val="0"/>
          <w:divBdr>
            <w:top w:val="none" w:sz="0" w:space="0" w:color="auto"/>
            <w:left w:val="none" w:sz="0" w:space="0" w:color="auto"/>
            <w:bottom w:val="none" w:sz="0" w:space="0" w:color="auto"/>
            <w:right w:val="none" w:sz="0" w:space="0" w:color="auto"/>
          </w:divBdr>
        </w:div>
        <w:div w:id="954487804">
          <w:marLeft w:val="0"/>
          <w:marRight w:val="0"/>
          <w:marTop w:val="0"/>
          <w:marBottom w:val="0"/>
          <w:divBdr>
            <w:top w:val="none" w:sz="0" w:space="0" w:color="auto"/>
            <w:left w:val="none" w:sz="0" w:space="0" w:color="auto"/>
            <w:bottom w:val="none" w:sz="0" w:space="0" w:color="auto"/>
            <w:right w:val="none" w:sz="0" w:space="0" w:color="auto"/>
          </w:divBdr>
        </w:div>
        <w:div w:id="1033336735">
          <w:marLeft w:val="0"/>
          <w:marRight w:val="0"/>
          <w:marTop w:val="0"/>
          <w:marBottom w:val="0"/>
          <w:divBdr>
            <w:top w:val="none" w:sz="0" w:space="0" w:color="auto"/>
            <w:left w:val="none" w:sz="0" w:space="0" w:color="auto"/>
            <w:bottom w:val="none" w:sz="0" w:space="0" w:color="auto"/>
            <w:right w:val="none" w:sz="0" w:space="0" w:color="auto"/>
          </w:divBdr>
        </w:div>
        <w:div w:id="1040476300">
          <w:marLeft w:val="0"/>
          <w:marRight w:val="0"/>
          <w:marTop w:val="0"/>
          <w:marBottom w:val="0"/>
          <w:divBdr>
            <w:top w:val="none" w:sz="0" w:space="0" w:color="auto"/>
            <w:left w:val="none" w:sz="0" w:space="0" w:color="auto"/>
            <w:bottom w:val="none" w:sz="0" w:space="0" w:color="auto"/>
            <w:right w:val="none" w:sz="0" w:space="0" w:color="auto"/>
          </w:divBdr>
        </w:div>
        <w:div w:id="1073506758">
          <w:marLeft w:val="0"/>
          <w:marRight w:val="0"/>
          <w:marTop w:val="0"/>
          <w:marBottom w:val="0"/>
          <w:divBdr>
            <w:top w:val="none" w:sz="0" w:space="0" w:color="auto"/>
            <w:left w:val="none" w:sz="0" w:space="0" w:color="auto"/>
            <w:bottom w:val="none" w:sz="0" w:space="0" w:color="auto"/>
            <w:right w:val="none" w:sz="0" w:space="0" w:color="auto"/>
          </w:divBdr>
        </w:div>
        <w:div w:id="1205672923">
          <w:marLeft w:val="0"/>
          <w:marRight w:val="0"/>
          <w:marTop w:val="0"/>
          <w:marBottom w:val="0"/>
          <w:divBdr>
            <w:top w:val="none" w:sz="0" w:space="0" w:color="auto"/>
            <w:left w:val="none" w:sz="0" w:space="0" w:color="auto"/>
            <w:bottom w:val="none" w:sz="0" w:space="0" w:color="auto"/>
            <w:right w:val="none" w:sz="0" w:space="0" w:color="auto"/>
          </w:divBdr>
        </w:div>
        <w:div w:id="1234197535">
          <w:marLeft w:val="0"/>
          <w:marRight w:val="0"/>
          <w:marTop w:val="0"/>
          <w:marBottom w:val="0"/>
          <w:divBdr>
            <w:top w:val="none" w:sz="0" w:space="0" w:color="auto"/>
            <w:left w:val="none" w:sz="0" w:space="0" w:color="auto"/>
            <w:bottom w:val="none" w:sz="0" w:space="0" w:color="auto"/>
            <w:right w:val="none" w:sz="0" w:space="0" w:color="auto"/>
          </w:divBdr>
        </w:div>
        <w:div w:id="1243417994">
          <w:marLeft w:val="0"/>
          <w:marRight w:val="0"/>
          <w:marTop w:val="0"/>
          <w:marBottom w:val="0"/>
          <w:divBdr>
            <w:top w:val="none" w:sz="0" w:space="0" w:color="auto"/>
            <w:left w:val="none" w:sz="0" w:space="0" w:color="auto"/>
            <w:bottom w:val="none" w:sz="0" w:space="0" w:color="auto"/>
            <w:right w:val="none" w:sz="0" w:space="0" w:color="auto"/>
          </w:divBdr>
        </w:div>
        <w:div w:id="1248617303">
          <w:marLeft w:val="0"/>
          <w:marRight w:val="0"/>
          <w:marTop w:val="0"/>
          <w:marBottom w:val="0"/>
          <w:divBdr>
            <w:top w:val="none" w:sz="0" w:space="0" w:color="auto"/>
            <w:left w:val="none" w:sz="0" w:space="0" w:color="auto"/>
            <w:bottom w:val="none" w:sz="0" w:space="0" w:color="auto"/>
            <w:right w:val="none" w:sz="0" w:space="0" w:color="auto"/>
          </w:divBdr>
        </w:div>
        <w:div w:id="1339650509">
          <w:marLeft w:val="0"/>
          <w:marRight w:val="0"/>
          <w:marTop w:val="0"/>
          <w:marBottom w:val="0"/>
          <w:divBdr>
            <w:top w:val="none" w:sz="0" w:space="0" w:color="auto"/>
            <w:left w:val="none" w:sz="0" w:space="0" w:color="auto"/>
            <w:bottom w:val="none" w:sz="0" w:space="0" w:color="auto"/>
            <w:right w:val="none" w:sz="0" w:space="0" w:color="auto"/>
          </w:divBdr>
        </w:div>
        <w:div w:id="1368144522">
          <w:marLeft w:val="0"/>
          <w:marRight w:val="0"/>
          <w:marTop w:val="0"/>
          <w:marBottom w:val="0"/>
          <w:divBdr>
            <w:top w:val="none" w:sz="0" w:space="0" w:color="auto"/>
            <w:left w:val="none" w:sz="0" w:space="0" w:color="auto"/>
            <w:bottom w:val="none" w:sz="0" w:space="0" w:color="auto"/>
            <w:right w:val="none" w:sz="0" w:space="0" w:color="auto"/>
          </w:divBdr>
        </w:div>
        <w:div w:id="1502425656">
          <w:marLeft w:val="0"/>
          <w:marRight w:val="0"/>
          <w:marTop w:val="0"/>
          <w:marBottom w:val="0"/>
          <w:divBdr>
            <w:top w:val="none" w:sz="0" w:space="0" w:color="auto"/>
            <w:left w:val="none" w:sz="0" w:space="0" w:color="auto"/>
            <w:bottom w:val="none" w:sz="0" w:space="0" w:color="auto"/>
            <w:right w:val="none" w:sz="0" w:space="0" w:color="auto"/>
          </w:divBdr>
        </w:div>
        <w:div w:id="1571962809">
          <w:marLeft w:val="0"/>
          <w:marRight w:val="0"/>
          <w:marTop w:val="0"/>
          <w:marBottom w:val="0"/>
          <w:divBdr>
            <w:top w:val="none" w:sz="0" w:space="0" w:color="auto"/>
            <w:left w:val="none" w:sz="0" w:space="0" w:color="auto"/>
            <w:bottom w:val="none" w:sz="0" w:space="0" w:color="auto"/>
            <w:right w:val="none" w:sz="0" w:space="0" w:color="auto"/>
          </w:divBdr>
        </w:div>
        <w:div w:id="1575357845">
          <w:marLeft w:val="0"/>
          <w:marRight w:val="0"/>
          <w:marTop w:val="0"/>
          <w:marBottom w:val="0"/>
          <w:divBdr>
            <w:top w:val="none" w:sz="0" w:space="0" w:color="auto"/>
            <w:left w:val="none" w:sz="0" w:space="0" w:color="auto"/>
            <w:bottom w:val="none" w:sz="0" w:space="0" w:color="auto"/>
            <w:right w:val="none" w:sz="0" w:space="0" w:color="auto"/>
          </w:divBdr>
        </w:div>
        <w:div w:id="1624386389">
          <w:marLeft w:val="0"/>
          <w:marRight w:val="0"/>
          <w:marTop w:val="0"/>
          <w:marBottom w:val="0"/>
          <w:divBdr>
            <w:top w:val="none" w:sz="0" w:space="0" w:color="auto"/>
            <w:left w:val="none" w:sz="0" w:space="0" w:color="auto"/>
            <w:bottom w:val="none" w:sz="0" w:space="0" w:color="auto"/>
            <w:right w:val="none" w:sz="0" w:space="0" w:color="auto"/>
          </w:divBdr>
        </w:div>
        <w:div w:id="1657027174">
          <w:marLeft w:val="0"/>
          <w:marRight w:val="0"/>
          <w:marTop w:val="0"/>
          <w:marBottom w:val="0"/>
          <w:divBdr>
            <w:top w:val="none" w:sz="0" w:space="0" w:color="auto"/>
            <w:left w:val="none" w:sz="0" w:space="0" w:color="auto"/>
            <w:bottom w:val="none" w:sz="0" w:space="0" w:color="auto"/>
            <w:right w:val="none" w:sz="0" w:space="0" w:color="auto"/>
          </w:divBdr>
        </w:div>
        <w:div w:id="1676148840">
          <w:marLeft w:val="0"/>
          <w:marRight w:val="0"/>
          <w:marTop w:val="0"/>
          <w:marBottom w:val="0"/>
          <w:divBdr>
            <w:top w:val="none" w:sz="0" w:space="0" w:color="auto"/>
            <w:left w:val="none" w:sz="0" w:space="0" w:color="auto"/>
            <w:bottom w:val="none" w:sz="0" w:space="0" w:color="auto"/>
            <w:right w:val="none" w:sz="0" w:space="0" w:color="auto"/>
          </w:divBdr>
        </w:div>
        <w:div w:id="1690520056">
          <w:marLeft w:val="0"/>
          <w:marRight w:val="0"/>
          <w:marTop w:val="0"/>
          <w:marBottom w:val="0"/>
          <w:divBdr>
            <w:top w:val="none" w:sz="0" w:space="0" w:color="auto"/>
            <w:left w:val="none" w:sz="0" w:space="0" w:color="auto"/>
            <w:bottom w:val="none" w:sz="0" w:space="0" w:color="auto"/>
            <w:right w:val="none" w:sz="0" w:space="0" w:color="auto"/>
          </w:divBdr>
        </w:div>
        <w:div w:id="1729764553">
          <w:marLeft w:val="0"/>
          <w:marRight w:val="0"/>
          <w:marTop w:val="0"/>
          <w:marBottom w:val="0"/>
          <w:divBdr>
            <w:top w:val="none" w:sz="0" w:space="0" w:color="auto"/>
            <w:left w:val="none" w:sz="0" w:space="0" w:color="auto"/>
            <w:bottom w:val="none" w:sz="0" w:space="0" w:color="auto"/>
            <w:right w:val="none" w:sz="0" w:space="0" w:color="auto"/>
          </w:divBdr>
        </w:div>
        <w:div w:id="1901600082">
          <w:marLeft w:val="0"/>
          <w:marRight w:val="0"/>
          <w:marTop w:val="0"/>
          <w:marBottom w:val="0"/>
          <w:divBdr>
            <w:top w:val="none" w:sz="0" w:space="0" w:color="auto"/>
            <w:left w:val="none" w:sz="0" w:space="0" w:color="auto"/>
            <w:bottom w:val="none" w:sz="0" w:space="0" w:color="auto"/>
            <w:right w:val="none" w:sz="0" w:space="0" w:color="auto"/>
          </w:divBdr>
        </w:div>
        <w:div w:id="1908951427">
          <w:marLeft w:val="0"/>
          <w:marRight w:val="0"/>
          <w:marTop w:val="0"/>
          <w:marBottom w:val="0"/>
          <w:divBdr>
            <w:top w:val="none" w:sz="0" w:space="0" w:color="auto"/>
            <w:left w:val="none" w:sz="0" w:space="0" w:color="auto"/>
            <w:bottom w:val="none" w:sz="0" w:space="0" w:color="auto"/>
            <w:right w:val="none" w:sz="0" w:space="0" w:color="auto"/>
          </w:divBdr>
        </w:div>
        <w:div w:id="1919553135">
          <w:marLeft w:val="0"/>
          <w:marRight w:val="0"/>
          <w:marTop w:val="0"/>
          <w:marBottom w:val="0"/>
          <w:divBdr>
            <w:top w:val="none" w:sz="0" w:space="0" w:color="auto"/>
            <w:left w:val="none" w:sz="0" w:space="0" w:color="auto"/>
            <w:bottom w:val="none" w:sz="0" w:space="0" w:color="auto"/>
            <w:right w:val="none" w:sz="0" w:space="0" w:color="auto"/>
          </w:divBdr>
        </w:div>
        <w:div w:id="1951011323">
          <w:marLeft w:val="0"/>
          <w:marRight w:val="0"/>
          <w:marTop w:val="0"/>
          <w:marBottom w:val="0"/>
          <w:divBdr>
            <w:top w:val="none" w:sz="0" w:space="0" w:color="auto"/>
            <w:left w:val="none" w:sz="0" w:space="0" w:color="auto"/>
            <w:bottom w:val="none" w:sz="0" w:space="0" w:color="auto"/>
            <w:right w:val="none" w:sz="0" w:space="0" w:color="auto"/>
          </w:divBdr>
        </w:div>
        <w:div w:id="1952590563">
          <w:marLeft w:val="0"/>
          <w:marRight w:val="0"/>
          <w:marTop w:val="0"/>
          <w:marBottom w:val="0"/>
          <w:divBdr>
            <w:top w:val="none" w:sz="0" w:space="0" w:color="auto"/>
            <w:left w:val="none" w:sz="0" w:space="0" w:color="auto"/>
            <w:bottom w:val="none" w:sz="0" w:space="0" w:color="auto"/>
            <w:right w:val="none" w:sz="0" w:space="0" w:color="auto"/>
          </w:divBdr>
        </w:div>
        <w:div w:id="1975332271">
          <w:marLeft w:val="0"/>
          <w:marRight w:val="0"/>
          <w:marTop w:val="0"/>
          <w:marBottom w:val="0"/>
          <w:divBdr>
            <w:top w:val="none" w:sz="0" w:space="0" w:color="auto"/>
            <w:left w:val="none" w:sz="0" w:space="0" w:color="auto"/>
            <w:bottom w:val="none" w:sz="0" w:space="0" w:color="auto"/>
            <w:right w:val="none" w:sz="0" w:space="0" w:color="auto"/>
          </w:divBdr>
        </w:div>
        <w:div w:id="2112238077">
          <w:marLeft w:val="0"/>
          <w:marRight w:val="0"/>
          <w:marTop w:val="0"/>
          <w:marBottom w:val="0"/>
          <w:divBdr>
            <w:top w:val="none" w:sz="0" w:space="0" w:color="auto"/>
            <w:left w:val="none" w:sz="0" w:space="0" w:color="auto"/>
            <w:bottom w:val="none" w:sz="0" w:space="0" w:color="auto"/>
            <w:right w:val="none" w:sz="0" w:space="0" w:color="auto"/>
          </w:divBdr>
        </w:div>
        <w:div w:id="2146388778">
          <w:marLeft w:val="0"/>
          <w:marRight w:val="0"/>
          <w:marTop w:val="0"/>
          <w:marBottom w:val="0"/>
          <w:divBdr>
            <w:top w:val="none" w:sz="0" w:space="0" w:color="auto"/>
            <w:left w:val="none" w:sz="0" w:space="0" w:color="auto"/>
            <w:bottom w:val="none" w:sz="0" w:space="0" w:color="auto"/>
            <w:right w:val="none" w:sz="0" w:space="0" w:color="auto"/>
          </w:divBdr>
        </w:div>
      </w:divsChild>
    </w:div>
    <w:div w:id="1950042570">
      <w:bodyDiv w:val="1"/>
      <w:marLeft w:val="0"/>
      <w:marRight w:val="0"/>
      <w:marTop w:val="0"/>
      <w:marBottom w:val="0"/>
      <w:divBdr>
        <w:top w:val="none" w:sz="0" w:space="0" w:color="auto"/>
        <w:left w:val="none" w:sz="0" w:space="0" w:color="auto"/>
        <w:bottom w:val="none" w:sz="0" w:space="0" w:color="auto"/>
        <w:right w:val="none" w:sz="0" w:space="0" w:color="auto"/>
      </w:divBdr>
    </w:div>
    <w:div w:id="199610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form-index.org/Countries/Country-Profile-Map"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weforum.org/docs/GGGR2015/cover.pdf"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info.undp.org/global/popp/rma/Pages/internal-control-framework.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undp.org/content/undp/en/home/operations/accountability/programme_and_operationspoliciesandprocedures.html"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ldc2conference.org/custom-content/uploads/2014/11/Vienna-Programme-of-Action1.pdf" TargetMode="External"/><Relationship Id="rId22" Type="http://schemas.openxmlformats.org/officeDocument/2006/relationships/hyperlink" Target="http://md.one.un.org/content/unct/moldova/en/home/publications/joint-publications/perceptions-of-human-rights-in-the-republic-of-moldova.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articip.gov.md/proiectview.php?l=ro&amp;idd=3140" TargetMode="External"/><Relationship Id="rId3" Type="http://schemas.openxmlformats.org/officeDocument/2006/relationships/hyperlink" Target="http://hdr.undp.org/sites/default/files/2016_human_development_report.pdf" TargetMode="External"/><Relationship Id="rId7" Type="http://schemas.openxmlformats.org/officeDocument/2006/relationships/hyperlink" Target="http://www.md.undp.org/content/moldova/en/home/library/effective_governance/studiul-privind-percepiile-i-atitudinile-fa-de-egalitate-in-repu.html" TargetMode="External"/><Relationship Id="rId2" Type="http://schemas.openxmlformats.org/officeDocument/2006/relationships/hyperlink" Target="http://www.transparency.org/cpi2015" TargetMode="External"/><Relationship Id="rId1" Type="http://schemas.openxmlformats.org/officeDocument/2006/relationships/hyperlink" Target="http://eeas.europa.eu/delegations/moldova/documents/press_corner/20160701_en.pdf" TargetMode="External"/><Relationship Id="rId6" Type="http://schemas.openxmlformats.org/officeDocument/2006/relationships/hyperlink" Target="http://www.cec.md/files/files/studii_analiza/Gender%20equality%20in%20elections_infografics_UNDP_ROEN.pdf" TargetMode="External"/><Relationship Id="rId5" Type="http://schemas.openxmlformats.org/officeDocument/2006/relationships/hyperlink" Target="http://statbank.statistica.md" TargetMode="External"/><Relationship Id="rId4" Type="http://schemas.openxmlformats.org/officeDocument/2006/relationships/hyperlink" Target="http://ipp.md/public/files/Barometru/BOP_10.201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DBBEB252-4E0E-4B53-8BFF-414C0EA1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6370</Words>
  <Characters>36312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42597</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5</cp:revision>
  <cp:lastPrinted>2017-05-01T21:44:00Z</cp:lastPrinted>
  <dcterms:created xsi:type="dcterms:W3CDTF">2017-05-25T16:58:00Z</dcterms:created>
  <dcterms:modified xsi:type="dcterms:W3CDTF">2017-06-05T16:07:00Z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