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11F08" w14:textId="77777777" w:rsidR="000C45A0" w:rsidRPr="000C45A0" w:rsidRDefault="000C45A0" w:rsidP="000C45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0C45A0">
        <w:rPr>
          <w:b/>
          <w:color w:val="000000"/>
          <w:lang w:val="en-GB"/>
        </w:rPr>
        <w:t>Second regular session 2016</w:t>
      </w:r>
    </w:p>
    <w:p w14:paraId="4A505357" w14:textId="77777777" w:rsidR="000C45A0" w:rsidRPr="000C45A0" w:rsidRDefault="000C45A0" w:rsidP="000C45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45A0">
        <w:rPr>
          <w:color w:val="000000"/>
          <w:lang w:val="en-GB"/>
        </w:rPr>
        <w:t>6-9 and 13 September 2016, New York</w:t>
      </w:r>
    </w:p>
    <w:p w14:paraId="069A1DDB" w14:textId="3FD1E448" w:rsidR="000C45A0" w:rsidRPr="000C45A0" w:rsidRDefault="000C45A0" w:rsidP="000C45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45A0">
        <w:rPr>
          <w:color w:val="000000"/>
          <w:lang w:val="en-GB"/>
        </w:rPr>
        <w:t xml:space="preserve">Item </w:t>
      </w:r>
      <w:r w:rsidR="00172FEE">
        <w:rPr>
          <w:color w:val="000000"/>
          <w:lang w:val="en-GB"/>
        </w:rPr>
        <w:t>x</w:t>
      </w:r>
      <w:r w:rsidRPr="000C45A0">
        <w:rPr>
          <w:color w:val="000000"/>
          <w:lang w:val="en-GB"/>
        </w:rPr>
        <w:t xml:space="preserve"> of the provisional agenda</w:t>
      </w:r>
    </w:p>
    <w:p w14:paraId="61780797" w14:textId="77777777" w:rsidR="000C45A0" w:rsidRPr="000C45A0" w:rsidRDefault="000C45A0" w:rsidP="000C45A0">
      <w:pPr>
        <w:ind w:right="1260"/>
        <w:rPr>
          <w:b/>
          <w:color w:val="000000"/>
          <w:lang w:val="en-GB"/>
        </w:rPr>
      </w:pPr>
      <w:r w:rsidRPr="000C45A0">
        <w:rPr>
          <w:b/>
          <w:color w:val="000000"/>
          <w:lang w:val="en-GB"/>
        </w:rPr>
        <w:t>Country programmes and related matters</w:t>
      </w:r>
    </w:p>
    <w:p w14:paraId="54C80C10" w14:textId="77777777" w:rsidR="000C45A0" w:rsidRPr="000C45A0" w:rsidRDefault="000C45A0" w:rsidP="000C45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983A459" w14:textId="77777777" w:rsidR="000C45A0" w:rsidRPr="000C45A0" w:rsidRDefault="000C45A0" w:rsidP="000C45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A449856" w14:textId="77777777" w:rsidR="000C45A0" w:rsidRPr="000C45A0" w:rsidRDefault="000C45A0" w:rsidP="000C45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495094F" w14:textId="77777777" w:rsidR="000C45A0" w:rsidRPr="000C45A0" w:rsidRDefault="000C45A0" w:rsidP="000C45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Calibri" w:hAnsi="Calibri"/>
          <w:b/>
          <w:color w:val="000000"/>
          <w:spacing w:val="-2"/>
          <w:w w:val="103"/>
          <w:kern w:val="14"/>
          <w:sz w:val="28"/>
          <w:lang w:val="en-GB"/>
        </w:rPr>
      </w:pPr>
    </w:p>
    <w:p w14:paraId="44931562" w14:textId="787440D1" w:rsidR="000C45A0" w:rsidRPr="000C45A0" w:rsidRDefault="000C45A0" w:rsidP="000C45A0">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b/>
          <w:color w:val="000000"/>
          <w:spacing w:val="-2"/>
          <w:w w:val="103"/>
          <w:kern w:val="14"/>
          <w:sz w:val="32"/>
          <w:szCs w:val="32"/>
          <w:lang w:val="en-GB"/>
        </w:rPr>
      </w:pPr>
      <w:r w:rsidRPr="000C45A0">
        <w:rPr>
          <w:b/>
          <w:color w:val="000000"/>
          <w:spacing w:val="-2"/>
          <w:w w:val="103"/>
          <w:kern w:val="14"/>
          <w:sz w:val="32"/>
          <w:szCs w:val="32"/>
          <w:lang w:val="en-GB"/>
        </w:rPr>
        <w:t xml:space="preserve">Draft country programme document for </w:t>
      </w:r>
      <w:proofErr w:type="gramStart"/>
      <w:r>
        <w:rPr>
          <w:b/>
          <w:color w:val="000000"/>
          <w:spacing w:val="-2"/>
          <w:w w:val="103"/>
          <w:kern w:val="14"/>
          <w:sz w:val="32"/>
          <w:szCs w:val="32"/>
        </w:rPr>
        <w:t>Montenegro</w:t>
      </w:r>
      <w:proofErr w:type="gramEnd"/>
      <w:r w:rsidRPr="000C45A0">
        <w:rPr>
          <w:b/>
          <w:color w:val="000000"/>
          <w:spacing w:val="-2"/>
          <w:w w:val="103"/>
          <w:kern w:val="14"/>
          <w:sz w:val="32"/>
          <w:szCs w:val="32"/>
        </w:rPr>
        <w:br/>
      </w:r>
      <w:r w:rsidRPr="000C45A0">
        <w:rPr>
          <w:b/>
          <w:color w:val="000000"/>
          <w:spacing w:val="-2"/>
          <w:w w:val="103"/>
          <w:kern w:val="14"/>
          <w:sz w:val="32"/>
          <w:szCs w:val="32"/>
          <w:lang w:val="en-GB"/>
        </w:rPr>
        <w:t>(2017-2021)</w:t>
      </w:r>
    </w:p>
    <w:p w14:paraId="59A829D7" w14:textId="77777777" w:rsidR="000C45A0" w:rsidRPr="000C45A0" w:rsidRDefault="000C45A0" w:rsidP="000C45A0">
      <w:pPr>
        <w:rPr>
          <w:lang w:val="en-GB"/>
        </w:rPr>
      </w:pPr>
    </w:p>
    <w:p w14:paraId="235A03C2" w14:textId="77777777" w:rsidR="000C45A0" w:rsidRPr="000C45A0" w:rsidRDefault="000C45A0" w:rsidP="000C45A0">
      <w:pPr>
        <w:tabs>
          <w:tab w:val="left" w:pos="1620"/>
        </w:tabs>
        <w:rPr>
          <w:lang w:val="en-GB"/>
        </w:rPr>
      </w:pPr>
    </w:p>
    <w:p w14:paraId="4F4EFD78" w14:textId="77777777" w:rsidR="000C45A0" w:rsidRPr="000C45A0" w:rsidRDefault="000C45A0" w:rsidP="000C45A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0C45A0">
        <w:rPr>
          <w:spacing w:val="-2"/>
          <w:w w:val="103"/>
          <w:kern w:val="14"/>
          <w:sz w:val="28"/>
          <w:lang w:val="en-GB"/>
        </w:rPr>
        <w:t>Contents</w:t>
      </w:r>
    </w:p>
    <w:tbl>
      <w:tblPr>
        <w:tblW w:w="9902" w:type="dxa"/>
        <w:tblInd w:w="-803" w:type="dxa"/>
        <w:tblLayout w:type="fixed"/>
        <w:tblCellMar>
          <w:left w:w="0" w:type="dxa"/>
          <w:right w:w="0" w:type="dxa"/>
        </w:tblCellMar>
        <w:tblLook w:val="0000" w:firstRow="0" w:lastRow="0" w:firstColumn="0" w:lastColumn="0" w:noHBand="0" w:noVBand="0"/>
      </w:tblPr>
      <w:tblGrid>
        <w:gridCol w:w="1060"/>
        <w:gridCol w:w="8300"/>
        <w:gridCol w:w="9"/>
        <w:gridCol w:w="533"/>
      </w:tblGrid>
      <w:tr w:rsidR="000C45A0" w:rsidRPr="000C45A0" w14:paraId="4FC9FC0B" w14:textId="77777777" w:rsidTr="00172FEE">
        <w:tc>
          <w:tcPr>
            <w:tcW w:w="1060" w:type="dxa"/>
            <w:shd w:val="clear" w:color="auto" w:fill="auto"/>
          </w:tcPr>
          <w:p w14:paraId="245ED630" w14:textId="77777777" w:rsidR="000C45A0" w:rsidRPr="000C45A0" w:rsidRDefault="000C45A0" w:rsidP="000C45A0">
            <w:pPr>
              <w:tabs>
                <w:tab w:val="left" w:pos="1620"/>
              </w:tabs>
              <w:suppressAutoHyphens/>
              <w:spacing w:after="120"/>
              <w:jc w:val="right"/>
              <w:rPr>
                <w:i/>
                <w:spacing w:val="4"/>
                <w:w w:val="103"/>
                <w:kern w:val="14"/>
                <w:sz w:val="14"/>
                <w:lang w:val="en-GB"/>
              </w:rPr>
            </w:pPr>
          </w:p>
        </w:tc>
        <w:tc>
          <w:tcPr>
            <w:tcW w:w="8300" w:type="dxa"/>
            <w:shd w:val="clear" w:color="auto" w:fill="auto"/>
          </w:tcPr>
          <w:p w14:paraId="654BB0FF" w14:textId="77777777" w:rsidR="000C45A0" w:rsidRPr="000C45A0" w:rsidRDefault="000C45A0" w:rsidP="000C45A0">
            <w:pPr>
              <w:tabs>
                <w:tab w:val="left" w:pos="1620"/>
              </w:tabs>
              <w:suppressAutoHyphens/>
              <w:spacing w:after="120"/>
              <w:rPr>
                <w:i/>
                <w:spacing w:val="4"/>
                <w:w w:val="103"/>
                <w:kern w:val="14"/>
                <w:sz w:val="14"/>
                <w:lang w:val="en-GB"/>
              </w:rPr>
            </w:pPr>
          </w:p>
        </w:tc>
        <w:tc>
          <w:tcPr>
            <w:tcW w:w="542" w:type="dxa"/>
            <w:gridSpan w:val="2"/>
            <w:shd w:val="clear" w:color="auto" w:fill="auto"/>
          </w:tcPr>
          <w:p w14:paraId="23D2245E" w14:textId="77777777" w:rsidR="000C45A0" w:rsidRPr="000C45A0" w:rsidRDefault="000C45A0" w:rsidP="000C45A0">
            <w:pPr>
              <w:tabs>
                <w:tab w:val="left" w:pos="1620"/>
              </w:tabs>
              <w:suppressAutoHyphens/>
              <w:spacing w:after="120"/>
              <w:jc w:val="right"/>
              <w:rPr>
                <w:i/>
                <w:spacing w:val="4"/>
                <w:w w:val="103"/>
                <w:kern w:val="14"/>
                <w:sz w:val="14"/>
                <w:lang w:val="en-GB"/>
              </w:rPr>
            </w:pPr>
            <w:r w:rsidRPr="000C45A0">
              <w:rPr>
                <w:i/>
                <w:spacing w:val="4"/>
                <w:w w:val="103"/>
                <w:kern w:val="14"/>
                <w:sz w:val="14"/>
                <w:lang w:val="en-GB"/>
              </w:rPr>
              <w:t>Page</w:t>
            </w:r>
          </w:p>
        </w:tc>
      </w:tr>
      <w:tr w:rsidR="000C45A0" w:rsidRPr="000C45A0" w14:paraId="03632E24" w14:textId="77777777" w:rsidTr="00172FEE">
        <w:tc>
          <w:tcPr>
            <w:tcW w:w="9360" w:type="dxa"/>
            <w:gridSpan w:val="2"/>
            <w:shd w:val="clear" w:color="auto" w:fill="auto"/>
          </w:tcPr>
          <w:p w14:paraId="12D7204B" w14:textId="1426E7D7" w:rsidR="000C45A0" w:rsidRPr="000C45A0" w:rsidRDefault="000C45A0" w:rsidP="000C45A0">
            <w:pPr>
              <w:numPr>
                <w:ilvl w:val="0"/>
                <w:numId w:val="49"/>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0C45A0">
              <w:rPr>
                <w:spacing w:val="4"/>
                <w:w w:val="103"/>
                <w:kern w:val="14"/>
                <w:lang w:val="en-GB"/>
              </w:rPr>
              <w:tab/>
              <w:t>Programme rationale</w:t>
            </w:r>
            <w:r w:rsidRPr="000C45A0">
              <w:rPr>
                <w:spacing w:val="60"/>
                <w:w w:val="103"/>
                <w:kern w:val="14"/>
                <w:sz w:val="17"/>
                <w:lang w:val="en-GB"/>
              </w:rPr>
              <w:tab/>
            </w:r>
          </w:p>
        </w:tc>
        <w:tc>
          <w:tcPr>
            <w:tcW w:w="542" w:type="dxa"/>
            <w:gridSpan w:val="2"/>
            <w:vMerge w:val="restart"/>
            <w:shd w:val="clear" w:color="auto" w:fill="auto"/>
            <w:vAlign w:val="bottom"/>
          </w:tcPr>
          <w:p w14:paraId="61FE9F1B" w14:textId="77777777" w:rsidR="000C45A0" w:rsidRPr="000C45A0" w:rsidRDefault="000C45A0" w:rsidP="000C45A0">
            <w:pPr>
              <w:tabs>
                <w:tab w:val="left" w:pos="1620"/>
              </w:tabs>
              <w:suppressAutoHyphens/>
              <w:spacing w:after="120" w:line="240" w:lineRule="exact"/>
              <w:jc w:val="right"/>
              <w:rPr>
                <w:spacing w:val="4"/>
                <w:w w:val="103"/>
                <w:kern w:val="14"/>
                <w:lang w:val="en-GB"/>
              </w:rPr>
            </w:pPr>
            <w:r w:rsidRPr="000C45A0">
              <w:rPr>
                <w:spacing w:val="4"/>
                <w:w w:val="103"/>
                <w:kern w:val="14"/>
                <w:lang w:val="en-GB"/>
              </w:rPr>
              <w:t>2</w:t>
            </w:r>
          </w:p>
          <w:p w14:paraId="002AC20D" w14:textId="77777777" w:rsidR="000C45A0" w:rsidRPr="000C45A0" w:rsidRDefault="000C45A0" w:rsidP="000C45A0">
            <w:pPr>
              <w:tabs>
                <w:tab w:val="left" w:pos="1620"/>
              </w:tabs>
              <w:suppressAutoHyphens/>
              <w:spacing w:after="120" w:line="240" w:lineRule="exact"/>
              <w:jc w:val="right"/>
              <w:rPr>
                <w:spacing w:val="4"/>
                <w:w w:val="103"/>
                <w:kern w:val="14"/>
                <w:lang w:val="en-GB"/>
              </w:rPr>
            </w:pPr>
            <w:r w:rsidRPr="000C45A0">
              <w:rPr>
                <w:spacing w:val="4"/>
                <w:w w:val="103"/>
                <w:kern w:val="14"/>
                <w:lang w:val="en-GB"/>
              </w:rPr>
              <w:t>4</w:t>
            </w:r>
          </w:p>
        </w:tc>
      </w:tr>
      <w:tr w:rsidR="000C45A0" w:rsidRPr="000C45A0" w14:paraId="2DE75780" w14:textId="77777777" w:rsidTr="00172FEE">
        <w:tc>
          <w:tcPr>
            <w:tcW w:w="9360" w:type="dxa"/>
            <w:gridSpan w:val="2"/>
            <w:shd w:val="clear" w:color="auto" w:fill="auto"/>
          </w:tcPr>
          <w:p w14:paraId="0EEDBE26" w14:textId="77777777" w:rsidR="000C45A0" w:rsidRPr="000C45A0" w:rsidRDefault="000C45A0" w:rsidP="000C45A0">
            <w:pPr>
              <w:numPr>
                <w:ilvl w:val="0"/>
                <w:numId w:val="49"/>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0C45A0">
              <w:rPr>
                <w:spacing w:val="4"/>
                <w:w w:val="103"/>
                <w:kern w:val="14"/>
                <w:lang w:val="en-GB"/>
              </w:rPr>
              <w:tab/>
              <w:t>Programme priorities and partnerships</w:t>
            </w:r>
            <w:r w:rsidRPr="000C45A0">
              <w:rPr>
                <w:spacing w:val="60"/>
                <w:w w:val="103"/>
                <w:kern w:val="14"/>
                <w:sz w:val="17"/>
                <w:lang w:val="en-GB"/>
              </w:rPr>
              <w:tab/>
            </w:r>
          </w:p>
        </w:tc>
        <w:tc>
          <w:tcPr>
            <w:tcW w:w="542" w:type="dxa"/>
            <w:gridSpan w:val="2"/>
            <w:vMerge/>
            <w:shd w:val="clear" w:color="auto" w:fill="auto"/>
            <w:vAlign w:val="bottom"/>
          </w:tcPr>
          <w:p w14:paraId="51A479F4" w14:textId="77777777" w:rsidR="000C45A0" w:rsidRPr="000C45A0" w:rsidRDefault="000C45A0" w:rsidP="000C45A0">
            <w:pPr>
              <w:tabs>
                <w:tab w:val="left" w:pos="1620"/>
              </w:tabs>
              <w:suppressAutoHyphens/>
              <w:spacing w:after="120" w:line="240" w:lineRule="exact"/>
              <w:jc w:val="right"/>
              <w:rPr>
                <w:spacing w:val="4"/>
                <w:w w:val="103"/>
                <w:kern w:val="14"/>
                <w:lang w:val="en-GB"/>
              </w:rPr>
            </w:pPr>
          </w:p>
        </w:tc>
      </w:tr>
      <w:tr w:rsidR="000C45A0" w:rsidRPr="000C45A0" w14:paraId="66404E6B" w14:textId="77777777" w:rsidTr="00172FEE">
        <w:tc>
          <w:tcPr>
            <w:tcW w:w="9360" w:type="dxa"/>
            <w:gridSpan w:val="2"/>
            <w:shd w:val="clear" w:color="auto" w:fill="auto"/>
          </w:tcPr>
          <w:p w14:paraId="1F14A12B" w14:textId="77777777" w:rsidR="000C45A0" w:rsidRPr="000C45A0" w:rsidRDefault="000C45A0" w:rsidP="000C45A0">
            <w:pPr>
              <w:numPr>
                <w:ilvl w:val="0"/>
                <w:numId w:val="49"/>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0C45A0">
              <w:rPr>
                <w:spacing w:val="4"/>
                <w:w w:val="103"/>
                <w:kern w:val="14"/>
                <w:lang w:val="en-GB"/>
              </w:rPr>
              <w:tab/>
              <w:t>Programme and risk management</w:t>
            </w:r>
            <w:r w:rsidRPr="000C45A0">
              <w:rPr>
                <w:spacing w:val="60"/>
                <w:w w:val="103"/>
                <w:kern w:val="14"/>
                <w:sz w:val="17"/>
                <w:lang w:val="en-GB"/>
              </w:rPr>
              <w:tab/>
            </w:r>
          </w:p>
        </w:tc>
        <w:tc>
          <w:tcPr>
            <w:tcW w:w="542" w:type="dxa"/>
            <w:gridSpan w:val="2"/>
            <w:vMerge w:val="restart"/>
            <w:shd w:val="clear" w:color="auto" w:fill="auto"/>
            <w:vAlign w:val="bottom"/>
          </w:tcPr>
          <w:p w14:paraId="7577B606" w14:textId="2D505233" w:rsidR="000C45A0" w:rsidRPr="000C45A0" w:rsidRDefault="00794F95" w:rsidP="000C45A0">
            <w:pPr>
              <w:tabs>
                <w:tab w:val="left" w:pos="1620"/>
              </w:tabs>
              <w:suppressAutoHyphens/>
              <w:spacing w:after="120" w:line="240" w:lineRule="exact"/>
              <w:jc w:val="right"/>
              <w:rPr>
                <w:spacing w:val="4"/>
                <w:w w:val="103"/>
                <w:kern w:val="14"/>
                <w:lang w:val="en-GB"/>
              </w:rPr>
            </w:pPr>
            <w:r>
              <w:rPr>
                <w:spacing w:val="4"/>
                <w:w w:val="103"/>
                <w:kern w:val="14"/>
                <w:lang w:val="en-GB"/>
              </w:rPr>
              <w:t>7</w:t>
            </w:r>
          </w:p>
          <w:p w14:paraId="0C8F085B" w14:textId="77777777" w:rsidR="000C45A0" w:rsidRPr="000C45A0" w:rsidRDefault="000C45A0" w:rsidP="000C45A0">
            <w:pPr>
              <w:tabs>
                <w:tab w:val="left" w:pos="1620"/>
              </w:tabs>
              <w:suppressAutoHyphens/>
              <w:spacing w:after="120" w:line="240" w:lineRule="exact"/>
              <w:jc w:val="right"/>
              <w:rPr>
                <w:spacing w:val="4"/>
                <w:w w:val="103"/>
                <w:kern w:val="14"/>
                <w:lang w:val="en-GB"/>
              </w:rPr>
            </w:pPr>
            <w:r w:rsidRPr="000C45A0">
              <w:rPr>
                <w:spacing w:val="4"/>
                <w:w w:val="103"/>
                <w:kern w:val="14"/>
                <w:lang w:val="en-GB"/>
              </w:rPr>
              <w:t xml:space="preserve">7 </w:t>
            </w:r>
          </w:p>
        </w:tc>
      </w:tr>
      <w:tr w:rsidR="000C45A0" w:rsidRPr="000C45A0" w14:paraId="3866E743" w14:textId="77777777" w:rsidTr="00172FEE">
        <w:tc>
          <w:tcPr>
            <w:tcW w:w="9360" w:type="dxa"/>
            <w:gridSpan w:val="2"/>
            <w:shd w:val="clear" w:color="auto" w:fill="auto"/>
          </w:tcPr>
          <w:p w14:paraId="4C0D4406" w14:textId="77777777" w:rsidR="000C45A0" w:rsidRPr="000C45A0" w:rsidRDefault="000C45A0" w:rsidP="000C45A0">
            <w:pPr>
              <w:numPr>
                <w:ilvl w:val="0"/>
                <w:numId w:val="49"/>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0C45A0">
              <w:rPr>
                <w:spacing w:val="4"/>
                <w:w w:val="103"/>
                <w:kern w:val="14"/>
                <w:lang w:val="en-GB"/>
              </w:rPr>
              <w:tab/>
              <w:t>Monitoring and evaluation</w:t>
            </w:r>
            <w:r w:rsidRPr="000C45A0">
              <w:rPr>
                <w:spacing w:val="60"/>
                <w:w w:val="103"/>
                <w:kern w:val="14"/>
                <w:sz w:val="17"/>
                <w:lang w:val="en-GB"/>
              </w:rPr>
              <w:tab/>
            </w:r>
            <w:r w:rsidRPr="000C45A0">
              <w:rPr>
                <w:spacing w:val="60"/>
                <w:w w:val="103"/>
                <w:kern w:val="14"/>
                <w:sz w:val="17"/>
                <w:lang w:val="en-GB"/>
              </w:rPr>
              <w:tab/>
            </w:r>
          </w:p>
        </w:tc>
        <w:tc>
          <w:tcPr>
            <w:tcW w:w="542" w:type="dxa"/>
            <w:gridSpan w:val="2"/>
            <w:vMerge/>
            <w:shd w:val="clear" w:color="auto" w:fill="auto"/>
            <w:vAlign w:val="bottom"/>
          </w:tcPr>
          <w:p w14:paraId="33F77C43" w14:textId="77777777" w:rsidR="000C45A0" w:rsidRPr="000C45A0" w:rsidRDefault="000C45A0" w:rsidP="000C45A0">
            <w:pPr>
              <w:tabs>
                <w:tab w:val="left" w:pos="1620"/>
              </w:tabs>
              <w:suppressAutoHyphens/>
              <w:spacing w:after="120" w:line="240" w:lineRule="exact"/>
              <w:jc w:val="right"/>
              <w:rPr>
                <w:spacing w:val="4"/>
                <w:w w:val="103"/>
                <w:kern w:val="14"/>
                <w:lang w:val="en-GB"/>
              </w:rPr>
            </w:pPr>
          </w:p>
        </w:tc>
      </w:tr>
      <w:tr w:rsidR="000C45A0" w:rsidRPr="000C45A0" w14:paraId="7144945E" w14:textId="77777777" w:rsidTr="00172FEE">
        <w:tc>
          <w:tcPr>
            <w:tcW w:w="9369" w:type="dxa"/>
            <w:gridSpan w:val="3"/>
            <w:shd w:val="clear" w:color="auto" w:fill="auto"/>
          </w:tcPr>
          <w:p w14:paraId="5EC2D5C5" w14:textId="77777777" w:rsidR="000C45A0" w:rsidRPr="000C45A0" w:rsidRDefault="000C45A0" w:rsidP="000C45A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0C45A0">
              <w:rPr>
                <w:spacing w:val="4"/>
                <w:w w:val="103"/>
                <w:kern w:val="14"/>
                <w:lang w:val="en-GB"/>
              </w:rPr>
              <w:t xml:space="preserve">     Annex</w:t>
            </w:r>
          </w:p>
        </w:tc>
        <w:tc>
          <w:tcPr>
            <w:tcW w:w="533" w:type="dxa"/>
            <w:shd w:val="clear" w:color="auto" w:fill="auto"/>
            <w:vAlign w:val="bottom"/>
          </w:tcPr>
          <w:p w14:paraId="738FDE00" w14:textId="77777777" w:rsidR="000C45A0" w:rsidRPr="000C45A0" w:rsidRDefault="000C45A0" w:rsidP="000C45A0">
            <w:pPr>
              <w:tabs>
                <w:tab w:val="left" w:pos="1620"/>
              </w:tabs>
              <w:suppressAutoHyphens/>
              <w:spacing w:after="120" w:line="240" w:lineRule="exact"/>
              <w:jc w:val="right"/>
              <w:rPr>
                <w:spacing w:val="4"/>
                <w:w w:val="103"/>
                <w:kern w:val="14"/>
                <w:lang w:val="en-GB"/>
              </w:rPr>
            </w:pPr>
          </w:p>
        </w:tc>
      </w:tr>
      <w:tr w:rsidR="000C45A0" w:rsidRPr="000C45A0" w14:paraId="788FD431" w14:textId="77777777" w:rsidTr="00172FEE">
        <w:tc>
          <w:tcPr>
            <w:tcW w:w="9369" w:type="dxa"/>
            <w:gridSpan w:val="3"/>
            <w:shd w:val="clear" w:color="auto" w:fill="auto"/>
          </w:tcPr>
          <w:p w14:paraId="6EFCC96A" w14:textId="34F7AC7F" w:rsidR="000C45A0" w:rsidRPr="000C45A0" w:rsidRDefault="000C45A0" w:rsidP="000C45A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0C45A0">
              <w:rPr>
                <w:spacing w:val="4"/>
                <w:w w:val="103"/>
                <w:kern w:val="14"/>
                <w:lang w:val="en-GB"/>
              </w:rPr>
              <w:t xml:space="preserve">Results and resources framework for </w:t>
            </w:r>
            <w:r>
              <w:rPr>
                <w:spacing w:val="4"/>
                <w:w w:val="103"/>
                <w:kern w:val="14"/>
              </w:rPr>
              <w:t>Montenegro</w:t>
            </w:r>
            <w:r w:rsidRPr="000C45A0">
              <w:rPr>
                <w:b/>
                <w:spacing w:val="4"/>
                <w:w w:val="103"/>
                <w:kern w:val="14"/>
              </w:rPr>
              <w:t xml:space="preserve"> </w:t>
            </w:r>
            <w:r w:rsidRPr="000C45A0">
              <w:rPr>
                <w:spacing w:val="4"/>
                <w:w w:val="103"/>
                <w:kern w:val="14"/>
                <w:lang w:val="en-GB"/>
              </w:rPr>
              <w:t>(2017-2021)</w:t>
            </w:r>
            <w:r w:rsidRPr="000C45A0">
              <w:rPr>
                <w:spacing w:val="60"/>
                <w:w w:val="103"/>
                <w:kern w:val="14"/>
                <w:sz w:val="17"/>
                <w:lang w:val="en-GB"/>
              </w:rPr>
              <w:tab/>
            </w:r>
          </w:p>
        </w:tc>
        <w:tc>
          <w:tcPr>
            <w:tcW w:w="533" w:type="dxa"/>
            <w:shd w:val="clear" w:color="auto" w:fill="auto"/>
            <w:vAlign w:val="bottom"/>
          </w:tcPr>
          <w:p w14:paraId="72C7DDAB" w14:textId="7D6E3734" w:rsidR="000C45A0" w:rsidRPr="000C45A0" w:rsidRDefault="00794F95" w:rsidP="000C45A0">
            <w:pPr>
              <w:tabs>
                <w:tab w:val="left" w:pos="1620"/>
              </w:tabs>
              <w:suppressAutoHyphens/>
              <w:spacing w:after="120" w:line="240" w:lineRule="exact"/>
              <w:jc w:val="right"/>
              <w:rPr>
                <w:spacing w:val="4"/>
                <w:w w:val="103"/>
                <w:kern w:val="14"/>
                <w:lang w:val="en-GB"/>
              </w:rPr>
            </w:pPr>
            <w:r>
              <w:rPr>
                <w:spacing w:val="4"/>
                <w:w w:val="103"/>
                <w:kern w:val="14"/>
                <w:lang w:val="en-GB"/>
              </w:rPr>
              <w:t>8</w:t>
            </w:r>
          </w:p>
        </w:tc>
      </w:tr>
    </w:tbl>
    <w:p w14:paraId="3C53D1DC" w14:textId="77777777" w:rsidR="00964A4E" w:rsidRDefault="00964A4E" w:rsidP="00C459F2">
      <w:pPr>
        <w:rPr>
          <w:b/>
          <w:color w:val="000000"/>
        </w:rPr>
      </w:pPr>
    </w:p>
    <w:p w14:paraId="75BEB011" w14:textId="77777777" w:rsidR="000C45A0" w:rsidRDefault="000C45A0">
      <w:pPr>
        <w:rPr>
          <w:color w:val="000000"/>
          <w:highlight w:val="yellow"/>
        </w:rPr>
      </w:pPr>
      <w:r>
        <w:rPr>
          <w:b/>
          <w:color w:val="000000"/>
          <w:highlight w:val="yellow"/>
        </w:rPr>
        <w:br w:type="page"/>
      </w:r>
    </w:p>
    <w:p w14:paraId="7E09F3C8" w14:textId="1CA15ECD" w:rsidR="00BD3DAB" w:rsidRPr="003F2C03" w:rsidRDefault="00BD3DAB" w:rsidP="00F66191">
      <w:pPr>
        <w:pStyle w:val="Heading2"/>
        <w:numPr>
          <w:ilvl w:val="0"/>
          <w:numId w:val="24"/>
        </w:numPr>
        <w:tabs>
          <w:tab w:val="left" w:pos="1260"/>
          <w:tab w:val="left" w:pos="1742"/>
          <w:tab w:val="left" w:pos="7650"/>
        </w:tabs>
        <w:ind w:left="0" w:right="900" w:hanging="360"/>
        <w:jc w:val="left"/>
        <w:rPr>
          <w:rFonts w:ascii="Times New Roman" w:hAnsi="Times New Roman"/>
          <w:bCs/>
          <w:color w:val="000000" w:themeColor="text1"/>
          <w:sz w:val="24"/>
          <w:szCs w:val="24"/>
          <w:lang w:val="en-GB"/>
        </w:rPr>
      </w:pPr>
      <w:r w:rsidRPr="003F2C03">
        <w:rPr>
          <w:rFonts w:ascii="Times New Roman" w:hAnsi="Times New Roman"/>
          <w:bCs/>
          <w:color w:val="000000" w:themeColor="text1"/>
          <w:sz w:val="24"/>
          <w:szCs w:val="24"/>
          <w:lang w:val="en-GB"/>
        </w:rPr>
        <w:lastRenderedPageBreak/>
        <w:t>Programme rationale</w:t>
      </w:r>
    </w:p>
    <w:p w14:paraId="7E1BB06D" w14:textId="0CB77261" w:rsidR="00894167" w:rsidRPr="003F2C03" w:rsidRDefault="00BD3DAB" w:rsidP="00172FEE">
      <w:pPr>
        <w:pStyle w:val="ListParagraph"/>
        <w:numPr>
          <w:ilvl w:val="0"/>
          <w:numId w:val="43"/>
        </w:numPr>
        <w:tabs>
          <w:tab w:val="left" w:pos="450"/>
        </w:tabs>
        <w:spacing w:before="120"/>
        <w:ind w:left="0" w:right="900" w:firstLine="0"/>
        <w:jc w:val="both"/>
      </w:pPr>
      <w:r w:rsidRPr="003F2C03">
        <w:t>Since independence in 2006</w:t>
      </w:r>
      <w:r w:rsidR="006F2169" w:rsidRPr="003F2C03">
        <w:t xml:space="preserve">, </w:t>
      </w:r>
      <w:r w:rsidRPr="003F2C03">
        <w:t>Montenegro has undertaken extensive reforms to build a stron</w:t>
      </w:r>
      <w:r w:rsidR="00215773" w:rsidRPr="003F2C03">
        <w:t xml:space="preserve">g parliamentary democracy </w:t>
      </w:r>
      <w:r w:rsidR="00C819D8" w:rsidRPr="003F2C03">
        <w:t>and market</w:t>
      </w:r>
      <w:r w:rsidRPr="003F2C03">
        <w:t xml:space="preserve"> economy. </w:t>
      </w:r>
      <w:r w:rsidR="00C82A60" w:rsidRPr="003F2C03">
        <w:t>A</w:t>
      </w:r>
      <w:r w:rsidR="00C606C5" w:rsidRPr="003F2C03">
        <w:t>c</w:t>
      </w:r>
      <w:r w:rsidRPr="003F2C03">
        <w:t xml:space="preserve">cession to the European Union (EU) </w:t>
      </w:r>
      <w:r w:rsidR="00C606C5" w:rsidRPr="003F2C03">
        <w:t xml:space="preserve">is a </w:t>
      </w:r>
      <w:r w:rsidR="00113C67" w:rsidRPr="003F2C03">
        <w:t>top</w:t>
      </w:r>
      <w:r w:rsidRPr="003F2C03">
        <w:t xml:space="preserve"> econom</w:t>
      </w:r>
      <w:r w:rsidR="00E46439" w:rsidRPr="003F2C03">
        <w:t>ic and political priority</w:t>
      </w:r>
      <w:r w:rsidR="00C606C5" w:rsidRPr="003F2C03">
        <w:t xml:space="preserve"> </w:t>
      </w:r>
      <w:r w:rsidR="00C82A60" w:rsidRPr="003F2C03">
        <w:t xml:space="preserve">and a principal driver </w:t>
      </w:r>
      <w:r w:rsidR="00C819D8" w:rsidRPr="003F2C03">
        <w:t>of development</w:t>
      </w:r>
      <w:r w:rsidRPr="003F2C03">
        <w:t xml:space="preserve"> and reform. </w:t>
      </w:r>
      <w:r w:rsidR="00101556" w:rsidRPr="003F2C03">
        <w:t xml:space="preserve">Montenegro started </w:t>
      </w:r>
      <w:r w:rsidR="00BE731B" w:rsidRPr="003F2C03">
        <w:t xml:space="preserve">accession negotiations </w:t>
      </w:r>
      <w:r w:rsidR="009F3FB2" w:rsidRPr="003F2C03">
        <w:t>in June 2012</w:t>
      </w:r>
      <w:r w:rsidR="00480A26" w:rsidRPr="003F2C03">
        <w:t xml:space="preserve"> </w:t>
      </w:r>
      <w:r w:rsidR="00A372B2" w:rsidRPr="003F2C03">
        <w:t>and is</w:t>
      </w:r>
      <w:r w:rsidR="00227213" w:rsidRPr="003F2C03">
        <w:t xml:space="preserve"> advancing well</w:t>
      </w:r>
      <w:r w:rsidR="003D428A">
        <w:t>, with</w:t>
      </w:r>
      <w:r w:rsidR="00227213" w:rsidRPr="003F2C03">
        <w:t xml:space="preserve"> </w:t>
      </w:r>
      <w:r w:rsidR="00812F28" w:rsidRPr="003F2C03">
        <w:t>22</w:t>
      </w:r>
      <w:r w:rsidR="00B64BB6" w:rsidRPr="003F2C03">
        <w:t xml:space="preserve"> of </w:t>
      </w:r>
      <w:r w:rsidR="00812F28" w:rsidRPr="003F2C03">
        <w:t xml:space="preserve">the </w:t>
      </w:r>
      <w:r w:rsidR="00B64BB6" w:rsidRPr="003F2C03">
        <w:t>35 negotiating chapters</w:t>
      </w:r>
      <w:r w:rsidR="00812F28" w:rsidRPr="003F2C03">
        <w:t xml:space="preserve"> open</w:t>
      </w:r>
      <w:r w:rsidR="003D428A">
        <w:t>. The</w:t>
      </w:r>
      <w:r w:rsidR="00C82A60" w:rsidRPr="003F2C03">
        <w:t xml:space="preserve"> process </w:t>
      </w:r>
      <w:r w:rsidR="0080704A" w:rsidRPr="003F2C03">
        <w:t xml:space="preserve">requires screening </w:t>
      </w:r>
      <w:r w:rsidR="00812F28" w:rsidRPr="003F2C03">
        <w:t xml:space="preserve">in </w:t>
      </w:r>
      <w:r w:rsidR="0080704A" w:rsidRPr="003F2C03">
        <w:t>e</w:t>
      </w:r>
      <w:r w:rsidR="00812F28" w:rsidRPr="003F2C03">
        <w:t>ach policy field, agreement on opening benchmarks</w:t>
      </w:r>
      <w:r w:rsidR="00AA0543">
        <w:t>,</w:t>
      </w:r>
      <w:r w:rsidR="00812F28" w:rsidRPr="003F2C03">
        <w:t xml:space="preserve"> </w:t>
      </w:r>
      <w:r w:rsidR="00A372B2" w:rsidRPr="003F2C03">
        <w:t xml:space="preserve">and detailing strategies and </w:t>
      </w:r>
      <w:r w:rsidR="00812F28" w:rsidRPr="003F2C03">
        <w:t>action plans to facilitate</w:t>
      </w:r>
      <w:r w:rsidR="0080704A" w:rsidRPr="003F2C03">
        <w:t xml:space="preserve"> compliance</w:t>
      </w:r>
      <w:r w:rsidR="005D3A0F" w:rsidRPr="003F2C03">
        <w:t xml:space="preserve"> with all EU </w:t>
      </w:r>
      <w:r w:rsidR="003D428A">
        <w:t>d</w:t>
      </w:r>
      <w:r w:rsidR="005D3A0F" w:rsidRPr="003F2C03">
        <w:t xml:space="preserve">irectives covering </w:t>
      </w:r>
      <w:r w:rsidR="00AE1347" w:rsidRPr="003F2C03">
        <w:t xml:space="preserve">key </w:t>
      </w:r>
      <w:r w:rsidR="005D3A0F" w:rsidRPr="003F2C03">
        <w:t>areas of development</w:t>
      </w:r>
      <w:r w:rsidR="00B64BB6" w:rsidRPr="003F2C03">
        <w:t xml:space="preserve">. </w:t>
      </w:r>
    </w:p>
    <w:p w14:paraId="0ED70404" w14:textId="6E014E2E" w:rsidR="006F2169" w:rsidRPr="003F2C03" w:rsidRDefault="00193086" w:rsidP="00172FEE">
      <w:pPr>
        <w:pStyle w:val="ListParagraph"/>
        <w:numPr>
          <w:ilvl w:val="0"/>
          <w:numId w:val="43"/>
        </w:numPr>
        <w:tabs>
          <w:tab w:val="left" w:pos="450"/>
        </w:tabs>
        <w:spacing w:before="120"/>
        <w:ind w:left="0" w:right="900" w:firstLine="0"/>
        <w:jc w:val="both"/>
      </w:pPr>
      <w:r w:rsidRPr="003F2C03">
        <w:t xml:space="preserve">Montenegro has </w:t>
      </w:r>
      <w:r w:rsidR="00BD3DAB" w:rsidRPr="003F2C03">
        <w:t xml:space="preserve">a population of </w:t>
      </w:r>
      <w:r w:rsidR="003D428A">
        <w:t>600,000</w:t>
      </w:r>
      <w:r w:rsidR="00BD3DAB" w:rsidRPr="003F2C03">
        <w:t xml:space="preserve"> </w:t>
      </w:r>
      <w:r w:rsidR="007B53BB" w:rsidRPr="003F2C03">
        <w:t>people</w:t>
      </w:r>
      <w:r w:rsidR="003D428A">
        <w:t>.</w:t>
      </w:r>
      <w:r w:rsidR="007B53BB" w:rsidRPr="003F2C03">
        <w:t xml:space="preserve"> </w:t>
      </w:r>
      <w:r w:rsidR="003D428A">
        <w:t>With a</w:t>
      </w:r>
      <w:r w:rsidR="00794F95">
        <w:t xml:space="preserve"> </w:t>
      </w:r>
      <w:r w:rsidR="00655A27" w:rsidRPr="003F2C03">
        <w:rPr>
          <w:rFonts w:eastAsiaTheme="minorHAnsi"/>
          <w:spacing w:val="4"/>
          <w:w w:val="103"/>
          <w:kern w:val="14"/>
          <w:lang w:val="en-GB"/>
        </w:rPr>
        <w:t xml:space="preserve">gross domestic product (GDP) </w:t>
      </w:r>
      <w:r w:rsidR="003D428A">
        <w:rPr>
          <w:rFonts w:eastAsiaTheme="minorHAnsi"/>
          <w:spacing w:val="4"/>
          <w:w w:val="103"/>
          <w:kern w:val="14"/>
          <w:lang w:val="en-GB"/>
        </w:rPr>
        <w:t>of $</w:t>
      </w:r>
      <w:r w:rsidR="00655A27" w:rsidRPr="003F2C03">
        <w:rPr>
          <w:rFonts w:eastAsiaTheme="minorHAnsi"/>
          <w:spacing w:val="4"/>
          <w:w w:val="103"/>
          <w:kern w:val="14"/>
          <w:lang w:val="en-GB"/>
        </w:rPr>
        <w:t>6,250</w:t>
      </w:r>
      <w:r w:rsidR="007B0A53" w:rsidRPr="003F2C03">
        <w:rPr>
          <w:rStyle w:val="FootnoteReference"/>
        </w:rPr>
        <w:footnoteReference w:id="1"/>
      </w:r>
      <w:r w:rsidR="005D3A0F" w:rsidRPr="003F2C03">
        <w:rPr>
          <w:rFonts w:eastAsiaTheme="minorHAnsi"/>
          <w:spacing w:val="4"/>
          <w:w w:val="103"/>
          <w:kern w:val="14"/>
          <w:lang w:val="en-GB"/>
        </w:rPr>
        <w:t xml:space="preserve"> per capita</w:t>
      </w:r>
      <w:r w:rsidR="003D428A">
        <w:rPr>
          <w:rFonts w:eastAsiaTheme="minorHAnsi"/>
          <w:spacing w:val="4"/>
          <w:w w:val="103"/>
          <w:kern w:val="14"/>
          <w:lang w:val="en-GB"/>
        </w:rPr>
        <w:t>, it is</w:t>
      </w:r>
      <w:r w:rsidR="003D428A">
        <w:t xml:space="preserve"> an</w:t>
      </w:r>
      <w:r w:rsidRPr="003F2C03">
        <w:t xml:space="preserve"> upper-</w:t>
      </w:r>
      <w:r w:rsidR="003D428A">
        <w:t>m</w:t>
      </w:r>
      <w:r w:rsidRPr="003F2C03">
        <w:t>iddle-</w:t>
      </w:r>
      <w:r w:rsidR="003D428A">
        <w:t>i</w:t>
      </w:r>
      <w:r w:rsidRPr="003F2C03">
        <w:t xml:space="preserve">ncome </w:t>
      </w:r>
      <w:r w:rsidR="003D428A">
        <w:t>c</w:t>
      </w:r>
      <w:r w:rsidRPr="003F2C03">
        <w:t>ountry</w:t>
      </w:r>
      <w:r w:rsidR="003D428A">
        <w:t>,</w:t>
      </w:r>
      <w:r w:rsidRPr="003F2C03">
        <w:t xml:space="preserve"> transitioning to </w:t>
      </w:r>
      <w:r w:rsidR="004956C2" w:rsidRPr="003F2C03">
        <w:t xml:space="preserve">the status of </w:t>
      </w:r>
      <w:r w:rsidR="003D428A">
        <w:t>n</w:t>
      </w:r>
      <w:r w:rsidRPr="003F2C03">
        <w:t xml:space="preserve">et </w:t>
      </w:r>
      <w:r w:rsidR="003D428A">
        <w:t>c</w:t>
      </w:r>
      <w:r w:rsidRPr="003F2C03">
        <w:t xml:space="preserve">ontributing </w:t>
      </w:r>
      <w:r w:rsidR="003D428A">
        <w:t>c</w:t>
      </w:r>
      <w:r w:rsidRPr="003F2C03">
        <w:t>o</w:t>
      </w:r>
      <w:r w:rsidR="004956C2" w:rsidRPr="003F2C03">
        <w:t>untry to the United Nations</w:t>
      </w:r>
      <w:r w:rsidRPr="003F2C03">
        <w:t xml:space="preserve">. </w:t>
      </w:r>
      <w:r w:rsidR="00DA7389" w:rsidRPr="003F2C03">
        <w:t>Despite two recessions</w:t>
      </w:r>
      <w:r w:rsidR="003D428A">
        <w:t>,</w:t>
      </w:r>
      <w:r w:rsidR="00DA7389" w:rsidRPr="003F2C03">
        <w:t xml:space="preserve"> in 2009 and 2012, t</w:t>
      </w:r>
      <w:r w:rsidR="00BD3DAB" w:rsidRPr="003F2C03">
        <w:t xml:space="preserve">he country </w:t>
      </w:r>
      <w:r w:rsidR="00E46439" w:rsidRPr="003F2C03">
        <w:t xml:space="preserve">has </w:t>
      </w:r>
      <w:r w:rsidR="00BD3DAB" w:rsidRPr="003F2C03">
        <w:t>experienced stable economic growth</w:t>
      </w:r>
      <w:r w:rsidR="00DA7389" w:rsidRPr="003F2C03">
        <w:t xml:space="preserve">, </w:t>
      </w:r>
      <w:r w:rsidR="004B538A" w:rsidRPr="003F2C03">
        <w:t>led</w:t>
      </w:r>
      <w:r w:rsidR="00DA7389" w:rsidRPr="003F2C03">
        <w:t xml:space="preserve"> </w:t>
      </w:r>
      <w:r w:rsidR="002C06A2" w:rsidRPr="003F2C03">
        <w:t xml:space="preserve">principally </w:t>
      </w:r>
      <w:r w:rsidR="00DA7389" w:rsidRPr="003F2C03">
        <w:t>by f</w:t>
      </w:r>
      <w:r w:rsidR="004B538A" w:rsidRPr="003F2C03">
        <w:t>oreign direct investment</w:t>
      </w:r>
      <w:r w:rsidR="003D428A">
        <w:t xml:space="preserve"> amounting to</w:t>
      </w:r>
      <w:r w:rsidR="00C819D8" w:rsidRPr="003F2C03">
        <w:t xml:space="preserve"> 13</w:t>
      </w:r>
      <w:r w:rsidR="00207809" w:rsidRPr="003F2C03">
        <w:t xml:space="preserve"> </w:t>
      </w:r>
      <w:r w:rsidR="00AA0543">
        <w:t>per cent</w:t>
      </w:r>
      <w:r w:rsidR="00207809" w:rsidRPr="003F2C03">
        <w:t xml:space="preserve"> </w:t>
      </w:r>
      <w:r w:rsidR="004B538A" w:rsidRPr="003F2C03">
        <w:t>of GDP</w:t>
      </w:r>
      <w:r w:rsidR="003D428A">
        <w:t>.</w:t>
      </w:r>
      <w:r w:rsidR="004B538A" w:rsidRPr="003F2C03">
        <w:rPr>
          <w:rStyle w:val="FootnoteReference"/>
        </w:rPr>
        <w:footnoteReference w:id="2"/>
      </w:r>
      <w:r w:rsidR="004B538A" w:rsidRPr="003F2C03">
        <w:t xml:space="preserve"> </w:t>
      </w:r>
      <w:r w:rsidR="003D428A">
        <w:t>P</w:t>
      </w:r>
      <w:r w:rsidR="00BD3DAB" w:rsidRPr="003F2C03">
        <w:t>ove</w:t>
      </w:r>
      <w:r w:rsidR="00E46439" w:rsidRPr="003F2C03">
        <w:t xml:space="preserve">rty rates </w:t>
      </w:r>
      <w:r w:rsidR="002E507D" w:rsidRPr="003F2C03">
        <w:t>in Montenegro increased</w:t>
      </w:r>
      <w:r w:rsidR="00E46439" w:rsidRPr="003F2C03">
        <w:t xml:space="preserve"> fro</w:t>
      </w:r>
      <w:r w:rsidR="00BD3DAB" w:rsidRPr="003F2C03">
        <w:t>m 4.9</w:t>
      </w:r>
      <w:r w:rsidR="00A30CBC" w:rsidRPr="003F2C03">
        <w:t xml:space="preserve"> </w:t>
      </w:r>
      <w:r w:rsidR="00AA0543">
        <w:t>per cent</w:t>
      </w:r>
      <w:r w:rsidR="00BD3DAB" w:rsidRPr="003F2C03">
        <w:t xml:space="preserve"> in 2008 to 11.3</w:t>
      </w:r>
      <w:r w:rsidR="00A30CBC" w:rsidRPr="003F2C03">
        <w:t xml:space="preserve"> </w:t>
      </w:r>
      <w:r w:rsidR="00AA0543">
        <w:t>per cent</w:t>
      </w:r>
      <w:r w:rsidR="00BD3DAB" w:rsidRPr="003F2C03">
        <w:t xml:space="preserve"> in 2012</w:t>
      </w:r>
      <w:r w:rsidR="00BD3DAB" w:rsidRPr="003F2C03">
        <w:rPr>
          <w:vertAlign w:val="superscript"/>
        </w:rPr>
        <w:footnoteReference w:id="3"/>
      </w:r>
      <w:r w:rsidR="00BD3DAB" w:rsidRPr="003F2C03">
        <w:rPr>
          <w:vertAlign w:val="superscript"/>
        </w:rPr>
        <w:t xml:space="preserve"> </w:t>
      </w:r>
      <w:r w:rsidR="00BD3DAB" w:rsidRPr="003F2C03">
        <w:t>and decreased</w:t>
      </w:r>
      <w:r w:rsidR="00E46439" w:rsidRPr="003F2C03">
        <w:t xml:space="preserve"> </w:t>
      </w:r>
      <w:r w:rsidR="002E507D" w:rsidRPr="003F2C03">
        <w:t xml:space="preserve">back </w:t>
      </w:r>
      <w:r w:rsidR="00BD3DAB" w:rsidRPr="003F2C03">
        <w:t>to 8.6</w:t>
      </w:r>
      <w:r w:rsidR="00A30CBC" w:rsidRPr="003F2C03">
        <w:t xml:space="preserve"> </w:t>
      </w:r>
      <w:r w:rsidR="00AA0543">
        <w:t>per cent</w:t>
      </w:r>
      <w:r w:rsidR="00BD3DAB" w:rsidRPr="003F2C03">
        <w:rPr>
          <w:vertAlign w:val="superscript"/>
        </w:rPr>
        <w:footnoteReference w:id="4"/>
      </w:r>
      <w:r w:rsidR="00D836D8" w:rsidRPr="003F2C03">
        <w:rPr>
          <w:vertAlign w:val="superscript"/>
        </w:rPr>
        <w:t xml:space="preserve"> </w:t>
      </w:r>
      <w:r w:rsidR="00D836D8" w:rsidRPr="003F2C03">
        <w:t>in 2013</w:t>
      </w:r>
      <w:r w:rsidR="003D428A">
        <w:t>, m</w:t>
      </w:r>
      <w:r w:rsidR="003D428A" w:rsidRPr="003F2C03">
        <w:t>irroring global and regional economic shock</w:t>
      </w:r>
      <w:r w:rsidR="00AA0543">
        <w:t>s.</w:t>
      </w:r>
    </w:p>
    <w:p w14:paraId="69C1D455" w14:textId="48DD4AC5" w:rsidR="00D836D8" w:rsidRPr="003F2C03" w:rsidRDefault="004B538A" w:rsidP="00172FEE">
      <w:pPr>
        <w:pStyle w:val="ListParagraph"/>
        <w:numPr>
          <w:ilvl w:val="0"/>
          <w:numId w:val="43"/>
        </w:numPr>
        <w:tabs>
          <w:tab w:val="left" w:pos="450"/>
        </w:tabs>
        <w:spacing w:before="120"/>
        <w:ind w:left="0" w:right="900" w:firstLine="0"/>
        <w:jc w:val="both"/>
      </w:pPr>
      <w:r w:rsidRPr="003F2C03">
        <w:t>S</w:t>
      </w:r>
      <w:r w:rsidR="00067847" w:rsidRPr="003F2C03">
        <w:t>trong economic</w:t>
      </w:r>
      <w:r w:rsidR="00736903" w:rsidRPr="003F2C03">
        <w:t xml:space="preserve"> growth</w:t>
      </w:r>
      <w:r w:rsidR="005D3A0F" w:rsidRPr="003F2C03">
        <w:t xml:space="preserve"> </w:t>
      </w:r>
      <w:r w:rsidR="005D3A0F" w:rsidRPr="003F2C03">
        <w:rPr>
          <w:color w:val="000000" w:themeColor="text1"/>
        </w:rPr>
        <w:t xml:space="preserve">is </w:t>
      </w:r>
      <w:r w:rsidR="005D3A0F" w:rsidRPr="003F2C03">
        <w:t xml:space="preserve">forecast </w:t>
      </w:r>
      <w:r w:rsidR="00067847" w:rsidRPr="003F2C03">
        <w:t>to continue</w:t>
      </w:r>
      <w:r w:rsidR="00067847" w:rsidRPr="003F2C03">
        <w:rPr>
          <w:color w:val="000000" w:themeColor="text1"/>
        </w:rPr>
        <w:t xml:space="preserve"> in 2016, at over 4 </w:t>
      </w:r>
      <w:r w:rsidR="00AA0543">
        <w:rPr>
          <w:color w:val="000000" w:themeColor="text1"/>
        </w:rPr>
        <w:t>per cent</w:t>
      </w:r>
      <w:r w:rsidR="00107B3F" w:rsidRPr="003F2C03">
        <w:rPr>
          <w:color w:val="000000" w:themeColor="text1"/>
        </w:rPr>
        <w:t xml:space="preserve">, </w:t>
      </w:r>
      <w:r w:rsidR="000237EB" w:rsidRPr="003F2C03">
        <w:t xml:space="preserve">albeit with </w:t>
      </w:r>
      <w:r w:rsidR="003D428A">
        <w:t xml:space="preserve">a </w:t>
      </w:r>
      <w:r w:rsidR="00736903" w:rsidRPr="003F2C03">
        <w:t>budget deficit</w:t>
      </w:r>
      <w:r w:rsidR="00F401B9" w:rsidRPr="003F2C03">
        <w:t xml:space="preserve"> </w:t>
      </w:r>
      <w:r w:rsidR="000237EB" w:rsidRPr="003F2C03">
        <w:t>reaching</w:t>
      </w:r>
      <w:r w:rsidR="00C17324" w:rsidRPr="003F2C03">
        <w:t xml:space="preserve"> </w:t>
      </w:r>
      <w:r w:rsidR="006E30BF" w:rsidRPr="003F2C03">
        <w:t>80</w:t>
      </w:r>
      <w:r w:rsidR="000237EB" w:rsidRPr="003F2C03">
        <w:t xml:space="preserve"> </w:t>
      </w:r>
      <w:r w:rsidR="00AA0543">
        <w:t>per cent</w:t>
      </w:r>
      <w:r w:rsidR="006E30BF" w:rsidRPr="003F2C03">
        <w:t xml:space="preserve"> of GDP</w:t>
      </w:r>
      <w:r w:rsidR="00807206" w:rsidRPr="003F2C03">
        <w:rPr>
          <w:rStyle w:val="FootnoteReference"/>
        </w:rPr>
        <w:footnoteReference w:id="5"/>
      </w:r>
      <w:r w:rsidR="00B66706" w:rsidRPr="003F2C03">
        <w:t xml:space="preserve"> </w:t>
      </w:r>
      <w:r w:rsidR="00067847" w:rsidRPr="003F2C03">
        <w:t>(2016-2018)</w:t>
      </w:r>
      <w:r w:rsidR="003D428A">
        <w:t>, raising</w:t>
      </w:r>
      <w:r w:rsidR="00C17324" w:rsidRPr="003F2C03">
        <w:t xml:space="preserve"> concerns over </w:t>
      </w:r>
      <w:r w:rsidR="00B66706" w:rsidRPr="003F2C03">
        <w:rPr>
          <w:lang w:eastAsia="en-GB"/>
        </w:rPr>
        <w:t xml:space="preserve">macroeconomic </w:t>
      </w:r>
      <w:r w:rsidR="00807206" w:rsidRPr="003F2C03">
        <w:rPr>
          <w:lang w:eastAsia="en-GB"/>
        </w:rPr>
        <w:t xml:space="preserve">stability. </w:t>
      </w:r>
      <w:r w:rsidR="003D428A">
        <w:rPr>
          <w:lang w:eastAsia="en-GB"/>
        </w:rPr>
        <w:t>I</w:t>
      </w:r>
      <w:r w:rsidR="00B66706" w:rsidRPr="003F2C03">
        <w:rPr>
          <w:lang w:eastAsia="en-GB"/>
        </w:rPr>
        <w:t>ssues of</w:t>
      </w:r>
      <w:r w:rsidR="00C17324" w:rsidRPr="003F2C03">
        <w:t xml:space="preserve"> </w:t>
      </w:r>
      <w:r w:rsidR="00B66706" w:rsidRPr="003F2C03">
        <w:t>i</w:t>
      </w:r>
      <w:r w:rsidR="006A5E63" w:rsidRPr="003F2C03">
        <w:t>nequality</w:t>
      </w:r>
      <w:r w:rsidR="003D428A">
        <w:t>,</w:t>
      </w:r>
      <w:r w:rsidR="00C516DE" w:rsidRPr="003F2C03">
        <w:rPr>
          <w:rStyle w:val="FootnoteReference"/>
        </w:rPr>
        <w:footnoteReference w:id="6"/>
      </w:r>
      <w:r w:rsidR="00265ED1" w:rsidRPr="003F2C03">
        <w:t xml:space="preserve"> unemployment</w:t>
      </w:r>
      <w:r w:rsidR="003D428A">
        <w:t xml:space="preserve"> (</w:t>
      </w:r>
      <w:r w:rsidR="00265ED1" w:rsidRPr="003F2C03">
        <w:t>especially among</w:t>
      </w:r>
      <w:r w:rsidR="00E34735" w:rsidRPr="003F2C03">
        <w:t xml:space="preserve"> you</w:t>
      </w:r>
      <w:r w:rsidR="00B66706" w:rsidRPr="003F2C03">
        <w:t>ng people</w:t>
      </w:r>
      <w:r w:rsidR="003D428A">
        <w:t>)</w:t>
      </w:r>
      <w:r w:rsidR="00E34735" w:rsidRPr="003F2C03">
        <w:t xml:space="preserve"> and regional </w:t>
      </w:r>
      <w:r w:rsidR="00B66706" w:rsidRPr="003F2C03">
        <w:t xml:space="preserve">economic </w:t>
      </w:r>
      <w:r w:rsidR="00E34735" w:rsidRPr="003F2C03">
        <w:t>disparities</w:t>
      </w:r>
      <w:r w:rsidR="009220FD" w:rsidRPr="003F2C03">
        <w:t xml:space="preserve"> persist</w:t>
      </w:r>
      <w:r w:rsidR="00E34735" w:rsidRPr="003F2C03">
        <w:t xml:space="preserve">. </w:t>
      </w:r>
      <w:r w:rsidR="000237EB" w:rsidRPr="003F2C03">
        <w:t>While u</w:t>
      </w:r>
      <w:r w:rsidR="007F61DF" w:rsidRPr="003F2C03">
        <w:t>nemployment is relatively low in the coastal region at</w:t>
      </w:r>
      <w:r w:rsidR="00E276B4" w:rsidRPr="003F2C03">
        <w:t xml:space="preserve"> </w:t>
      </w:r>
      <w:r w:rsidR="007651C4" w:rsidRPr="003F2C03">
        <w:t>7.8</w:t>
      </w:r>
      <w:r w:rsidR="00E276B4" w:rsidRPr="003F2C03">
        <w:t xml:space="preserve"> </w:t>
      </w:r>
      <w:r w:rsidR="00AA0543">
        <w:t>per cent</w:t>
      </w:r>
      <w:r w:rsidR="003D428A">
        <w:t>,</w:t>
      </w:r>
      <w:r w:rsidR="007F61DF" w:rsidRPr="003F2C03">
        <w:t xml:space="preserve"> it is </w:t>
      </w:r>
      <w:r w:rsidR="007651C4" w:rsidRPr="003F2C03">
        <w:t xml:space="preserve">nearly </w:t>
      </w:r>
      <w:r w:rsidR="00E276B4" w:rsidRPr="003F2C03">
        <w:t xml:space="preserve">five times higher </w:t>
      </w:r>
      <w:r w:rsidR="00BC0704" w:rsidRPr="003F2C03">
        <w:t>in the north</w:t>
      </w:r>
      <w:r w:rsidR="00107B3F" w:rsidRPr="003F2C03">
        <w:t>ern region</w:t>
      </w:r>
      <w:r w:rsidR="00E276B4" w:rsidRPr="003F2C03">
        <w:t xml:space="preserve"> </w:t>
      </w:r>
      <w:r w:rsidR="00107B3F" w:rsidRPr="003F2C03">
        <w:t>(</w:t>
      </w:r>
      <w:r w:rsidR="00E276B4" w:rsidRPr="003F2C03">
        <w:t>3</w:t>
      </w:r>
      <w:r w:rsidR="007651C4" w:rsidRPr="003F2C03">
        <w:t>7.3</w:t>
      </w:r>
      <w:r w:rsidR="00A30CBC" w:rsidRPr="003F2C03">
        <w:t xml:space="preserve"> </w:t>
      </w:r>
      <w:r w:rsidR="00AA0543">
        <w:t>per cent</w:t>
      </w:r>
      <w:r w:rsidR="00E276B4" w:rsidRPr="003F2C03">
        <w:t>)</w:t>
      </w:r>
      <w:r w:rsidR="003D428A">
        <w:t>.</w:t>
      </w:r>
      <w:r w:rsidR="00297C1A" w:rsidRPr="003F2C03">
        <w:rPr>
          <w:rStyle w:val="FootnoteReference"/>
        </w:rPr>
        <w:footnoteReference w:id="7"/>
      </w:r>
      <w:r w:rsidR="00E34735" w:rsidRPr="003F2C03">
        <w:t xml:space="preserve"> </w:t>
      </w:r>
    </w:p>
    <w:p w14:paraId="4BFBBAA3" w14:textId="0D66B6B1" w:rsidR="00D836D8" w:rsidRPr="003F2C03" w:rsidRDefault="00107B3F" w:rsidP="00172FEE">
      <w:pPr>
        <w:pStyle w:val="ListParagraph"/>
        <w:numPr>
          <w:ilvl w:val="0"/>
          <w:numId w:val="43"/>
        </w:numPr>
        <w:tabs>
          <w:tab w:val="left" w:pos="450"/>
        </w:tabs>
        <w:spacing w:before="120"/>
        <w:ind w:left="0" w:right="900" w:firstLine="0"/>
        <w:jc w:val="both"/>
      </w:pPr>
      <w:r w:rsidRPr="003F2C03">
        <w:t>T</w:t>
      </w:r>
      <w:r w:rsidR="00297C1A" w:rsidRPr="003F2C03">
        <w:t>he most vulnerable</w:t>
      </w:r>
      <w:r w:rsidR="003D428A">
        <w:t xml:space="preserve"> people</w:t>
      </w:r>
      <w:r w:rsidR="00297C1A" w:rsidRPr="003F2C03">
        <w:t>, such as young people, women, elderly</w:t>
      </w:r>
      <w:r w:rsidR="00AA0543">
        <w:t xml:space="preserve"> people</w:t>
      </w:r>
      <w:r w:rsidR="00297C1A" w:rsidRPr="003F2C03">
        <w:t xml:space="preserve">, persons with disabilities and </w:t>
      </w:r>
      <w:r w:rsidR="00B6508B" w:rsidRPr="003F2C03">
        <w:t>Roma</w:t>
      </w:r>
      <w:r w:rsidR="003D428A">
        <w:t xml:space="preserve"> people,</w:t>
      </w:r>
      <w:r w:rsidR="00B6508B" w:rsidRPr="003F2C03">
        <w:t xml:space="preserve"> have not felt the full benefits of economic growth</w:t>
      </w:r>
      <w:r w:rsidR="007B0A53" w:rsidRPr="003F2C03">
        <w:rPr>
          <w:rStyle w:val="FootnoteReference"/>
        </w:rPr>
        <w:footnoteReference w:id="8"/>
      </w:r>
      <w:r w:rsidR="002C06A2" w:rsidRPr="003F2C03">
        <w:t xml:space="preserve"> due mainly to the </w:t>
      </w:r>
      <w:r w:rsidR="00AD349D" w:rsidRPr="003F2C03">
        <w:t>concentrat</w:t>
      </w:r>
      <w:r w:rsidR="002C06A2" w:rsidRPr="003F2C03">
        <w:t xml:space="preserve">ion of </w:t>
      </w:r>
      <w:r w:rsidR="005C1209" w:rsidRPr="003F2C03">
        <w:t xml:space="preserve">investment </w:t>
      </w:r>
      <w:r w:rsidR="00AD349D" w:rsidRPr="003F2C03">
        <w:t>in the coastal region</w:t>
      </w:r>
      <w:r w:rsidR="005C1209" w:rsidRPr="003F2C03">
        <w:t xml:space="preserve"> and a mismatch in </w:t>
      </w:r>
      <w:r w:rsidR="00227213" w:rsidRPr="003F2C03">
        <w:t xml:space="preserve">labour </w:t>
      </w:r>
      <w:r w:rsidR="002C06A2" w:rsidRPr="003F2C03">
        <w:t xml:space="preserve">demand </w:t>
      </w:r>
      <w:r w:rsidR="003F2C03" w:rsidRPr="003F2C03">
        <w:t>and skills</w:t>
      </w:r>
      <w:r w:rsidR="002C06A2" w:rsidRPr="003F2C03">
        <w:t>.</w:t>
      </w:r>
      <w:r w:rsidRPr="003F2C03">
        <w:t xml:space="preserve"> </w:t>
      </w:r>
      <w:r w:rsidR="00B6508B" w:rsidRPr="003F2C03">
        <w:t xml:space="preserve">Coverage of </w:t>
      </w:r>
      <w:r w:rsidR="00B6508B" w:rsidRPr="003F2C03">
        <w:rPr>
          <w:lang w:val="en-GB"/>
        </w:rPr>
        <w:t>s</w:t>
      </w:r>
      <w:r w:rsidR="002A1664" w:rsidRPr="003F2C03">
        <w:rPr>
          <w:lang w:val="en-GB"/>
        </w:rPr>
        <w:t>ocial protection services</w:t>
      </w:r>
      <w:r w:rsidR="00B6508B" w:rsidRPr="003F2C03">
        <w:rPr>
          <w:lang w:val="en-GB"/>
        </w:rPr>
        <w:t xml:space="preserve"> is uneven and not well targeted.</w:t>
      </w:r>
      <w:r w:rsidR="002A1664" w:rsidRPr="003F2C03">
        <w:rPr>
          <w:lang w:val="en-GB"/>
        </w:rPr>
        <w:t xml:space="preserve"> </w:t>
      </w:r>
      <w:r w:rsidR="00721ECC" w:rsidRPr="003F2C03">
        <w:rPr>
          <w:lang w:val="en-GB"/>
        </w:rPr>
        <w:t>A</w:t>
      </w:r>
      <w:r w:rsidR="00B04DE0" w:rsidRPr="003F2C03">
        <w:rPr>
          <w:lang w:val="en-GB"/>
        </w:rPr>
        <w:t xml:space="preserve">ccess to quality </w:t>
      </w:r>
      <w:r w:rsidR="00B6508B" w:rsidRPr="003F2C03">
        <w:rPr>
          <w:lang w:val="en-GB"/>
        </w:rPr>
        <w:t>standardi</w:t>
      </w:r>
      <w:r w:rsidR="003D428A">
        <w:rPr>
          <w:lang w:val="en-GB"/>
        </w:rPr>
        <w:t>z</w:t>
      </w:r>
      <w:r w:rsidR="00B6508B" w:rsidRPr="003F2C03">
        <w:rPr>
          <w:lang w:val="en-GB"/>
        </w:rPr>
        <w:t xml:space="preserve">ed </w:t>
      </w:r>
      <w:r w:rsidR="00B04DE0" w:rsidRPr="003F2C03">
        <w:rPr>
          <w:lang w:val="en-GB"/>
        </w:rPr>
        <w:t xml:space="preserve">public services across the country </w:t>
      </w:r>
      <w:r w:rsidR="0033074D" w:rsidRPr="003F2C03">
        <w:rPr>
          <w:lang w:val="en-GB"/>
        </w:rPr>
        <w:t xml:space="preserve">still </w:t>
      </w:r>
      <w:r w:rsidR="00B6508B" w:rsidRPr="003F2C03">
        <w:rPr>
          <w:lang w:val="en-GB"/>
        </w:rPr>
        <w:t xml:space="preserve">needs to be ensured through </w:t>
      </w:r>
      <w:r w:rsidR="003D428A">
        <w:rPr>
          <w:lang w:val="en-GB"/>
        </w:rPr>
        <w:t xml:space="preserve">a </w:t>
      </w:r>
      <w:r w:rsidR="002A1664" w:rsidRPr="003F2C03">
        <w:rPr>
          <w:lang w:val="en-GB"/>
        </w:rPr>
        <w:t xml:space="preserve">national </w:t>
      </w:r>
      <w:r w:rsidR="00B6508B" w:rsidRPr="003F2C03">
        <w:rPr>
          <w:lang w:val="en-GB"/>
        </w:rPr>
        <w:t xml:space="preserve">monitoring and compliance </w:t>
      </w:r>
      <w:r w:rsidR="002A1664" w:rsidRPr="003F2C03">
        <w:rPr>
          <w:lang w:val="en-GB"/>
        </w:rPr>
        <w:t>system</w:t>
      </w:r>
      <w:r w:rsidRPr="003F2C03">
        <w:rPr>
          <w:lang w:val="en-GB"/>
        </w:rPr>
        <w:t>.</w:t>
      </w:r>
      <w:r w:rsidR="002A1664" w:rsidRPr="003F2C03">
        <w:rPr>
          <w:vertAlign w:val="superscript"/>
        </w:rPr>
        <w:footnoteReference w:id="9"/>
      </w:r>
      <w:r w:rsidR="002A1664" w:rsidRPr="003F2C03">
        <w:t xml:space="preserve"> </w:t>
      </w:r>
    </w:p>
    <w:p w14:paraId="1333DF6D" w14:textId="31720247" w:rsidR="00D836D8" w:rsidRPr="003F2C03" w:rsidRDefault="002A1664" w:rsidP="00172FEE">
      <w:pPr>
        <w:pStyle w:val="ListParagraph"/>
        <w:numPr>
          <w:ilvl w:val="0"/>
          <w:numId w:val="43"/>
        </w:numPr>
        <w:tabs>
          <w:tab w:val="left" w:pos="450"/>
        </w:tabs>
        <w:spacing w:before="120"/>
        <w:ind w:left="0" w:right="900" w:firstLine="0"/>
        <w:jc w:val="both"/>
      </w:pPr>
      <w:r w:rsidRPr="003F2C03">
        <w:rPr>
          <w:color w:val="000000"/>
        </w:rPr>
        <w:t xml:space="preserve">Montenegro's economy suffers from low competitiveness, especially </w:t>
      </w:r>
      <w:r w:rsidR="00107B3F" w:rsidRPr="003F2C03">
        <w:rPr>
          <w:color w:val="000000"/>
        </w:rPr>
        <w:t xml:space="preserve">in </w:t>
      </w:r>
      <w:r w:rsidR="00AA0543">
        <w:rPr>
          <w:color w:val="000000"/>
        </w:rPr>
        <w:t xml:space="preserve">the </w:t>
      </w:r>
      <w:r w:rsidR="00107B3F" w:rsidRPr="003F2C03">
        <w:rPr>
          <w:color w:val="000000"/>
        </w:rPr>
        <w:t>industrial</w:t>
      </w:r>
      <w:r w:rsidRPr="003F2C03">
        <w:rPr>
          <w:color w:val="000000"/>
        </w:rPr>
        <w:t xml:space="preserve"> and agricultural </w:t>
      </w:r>
      <w:r w:rsidR="00E276B4" w:rsidRPr="003F2C03">
        <w:rPr>
          <w:color w:val="000000"/>
        </w:rPr>
        <w:t>sectors</w:t>
      </w:r>
      <w:r w:rsidRPr="003F2C03">
        <w:rPr>
          <w:color w:val="000000"/>
        </w:rPr>
        <w:t>.</w:t>
      </w:r>
      <w:r w:rsidRPr="003F2C03">
        <w:rPr>
          <w:vertAlign w:val="superscript"/>
        </w:rPr>
        <w:footnoteReference w:id="10"/>
      </w:r>
      <w:r w:rsidRPr="003F2C03">
        <w:t xml:space="preserve"> </w:t>
      </w:r>
      <w:r w:rsidR="003D428A">
        <w:t xml:space="preserve">The </w:t>
      </w:r>
      <w:r w:rsidRPr="003F2C03">
        <w:rPr>
          <w:lang w:val="en-GB"/>
        </w:rPr>
        <w:t>N</w:t>
      </w:r>
      <w:r w:rsidR="007F61DF" w:rsidRPr="003F2C03">
        <w:rPr>
          <w:lang w:val="en-GB"/>
        </w:rPr>
        <w:t xml:space="preserve">ational </w:t>
      </w:r>
      <w:r w:rsidRPr="003F2C03">
        <w:rPr>
          <w:lang w:val="en-GB"/>
        </w:rPr>
        <w:t>H</w:t>
      </w:r>
      <w:r w:rsidR="007F61DF" w:rsidRPr="003F2C03">
        <w:rPr>
          <w:lang w:val="en-GB"/>
        </w:rPr>
        <w:t>uman Development Report</w:t>
      </w:r>
      <w:r w:rsidRPr="003F2C03">
        <w:rPr>
          <w:lang w:val="en-GB"/>
        </w:rPr>
        <w:t xml:space="preserve"> 2016 found that every third person is working</w:t>
      </w:r>
      <w:r w:rsidRPr="003F2C03">
        <w:t xml:space="preserve"> in </w:t>
      </w:r>
      <w:r w:rsidR="003D428A">
        <w:t xml:space="preserve">the </w:t>
      </w:r>
      <w:r w:rsidRPr="003F2C03">
        <w:t>informal sector</w:t>
      </w:r>
      <w:r w:rsidR="003D428A">
        <w:t>.</w:t>
      </w:r>
      <w:r w:rsidR="009E6081" w:rsidRPr="003F2C03">
        <w:t xml:space="preserve"> </w:t>
      </w:r>
      <w:r w:rsidR="003D428A">
        <w:t>This</w:t>
      </w:r>
      <w:r w:rsidR="003D428A" w:rsidRPr="003F2C03">
        <w:t xml:space="preserve"> </w:t>
      </w:r>
      <w:r w:rsidR="003D428A">
        <w:t>e</w:t>
      </w:r>
      <w:r w:rsidR="001561D0" w:rsidRPr="003F2C03">
        <w:t>specially affect</w:t>
      </w:r>
      <w:r w:rsidR="009E6081" w:rsidRPr="003F2C03">
        <w:t>s</w:t>
      </w:r>
      <w:r w:rsidR="001561D0" w:rsidRPr="003F2C03">
        <w:t xml:space="preserve"> women and young</w:t>
      </w:r>
      <w:r w:rsidR="009E6081" w:rsidRPr="003F2C03">
        <w:t xml:space="preserve"> people</w:t>
      </w:r>
      <w:r w:rsidR="00AA0543">
        <w:t>,</w:t>
      </w:r>
      <w:r w:rsidR="009E6081" w:rsidRPr="003F2C03">
        <w:t xml:space="preserve"> who are </w:t>
      </w:r>
      <w:r w:rsidR="009E6081" w:rsidRPr="003F2C03">
        <w:rPr>
          <w:lang w:val="en-GB"/>
        </w:rPr>
        <w:t>often</w:t>
      </w:r>
      <w:r w:rsidR="001561D0" w:rsidRPr="003F2C03">
        <w:rPr>
          <w:lang w:val="en-GB"/>
        </w:rPr>
        <w:t xml:space="preserve"> employed in ‘undeclared work’ in </w:t>
      </w:r>
      <w:r w:rsidR="003D428A">
        <w:rPr>
          <w:lang w:val="en-GB"/>
        </w:rPr>
        <w:t xml:space="preserve">the </w:t>
      </w:r>
      <w:r w:rsidR="001561D0" w:rsidRPr="003F2C03">
        <w:rPr>
          <w:lang w:val="en-GB"/>
        </w:rPr>
        <w:t>agriculture, tourism and construction sectors</w:t>
      </w:r>
      <w:r w:rsidR="003D428A">
        <w:rPr>
          <w:lang w:val="en-GB"/>
        </w:rPr>
        <w:t>.</w:t>
      </w:r>
      <w:r w:rsidR="001561D0" w:rsidRPr="003F2C03">
        <w:rPr>
          <w:vertAlign w:val="superscript"/>
          <w:lang w:val="en-GB"/>
        </w:rPr>
        <w:footnoteReference w:id="11"/>
      </w:r>
      <w:r w:rsidRPr="003F2C03">
        <w:t xml:space="preserve"> Youth unemployment (15-24 years old) remains high at 35.8</w:t>
      </w:r>
      <w:r w:rsidR="00AA0543">
        <w:t xml:space="preserve"> per cent</w:t>
      </w:r>
      <w:r w:rsidRPr="003F2C03">
        <w:t>,</w:t>
      </w:r>
      <w:r w:rsidRPr="003F2C03">
        <w:rPr>
          <w:rStyle w:val="FootnoteReference"/>
        </w:rPr>
        <w:footnoteReference w:id="12"/>
      </w:r>
      <w:r w:rsidRPr="003F2C03">
        <w:t xml:space="preserve"> and of those employed, 54</w:t>
      </w:r>
      <w:r w:rsidR="00AA0543">
        <w:t xml:space="preserve"> per cent</w:t>
      </w:r>
      <w:r w:rsidRPr="003F2C03">
        <w:t xml:space="preserve"> work in the informal economy</w:t>
      </w:r>
      <w:r w:rsidR="003D428A">
        <w:t>.</w:t>
      </w:r>
      <w:r w:rsidR="00CB7568" w:rsidRPr="003F2C03">
        <w:rPr>
          <w:rStyle w:val="FootnoteReference"/>
        </w:rPr>
        <w:footnoteReference w:id="13"/>
      </w:r>
      <w:r w:rsidR="00107B3F" w:rsidRPr="003F2C03">
        <w:t xml:space="preserve"> S</w:t>
      </w:r>
      <w:r w:rsidRPr="003F2C03">
        <w:t>ome vulnerable groups</w:t>
      </w:r>
      <w:r w:rsidR="00AA0543">
        <w:t>,</w:t>
      </w:r>
      <w:r w:rsidRPr="003F2C03">
        <w:t xml:space="preserve"> such as Roma population</w:t>
      </w:r>
      <w:r w:rsidR="003D428A">
        <w:t>s</w:t>
      </w:r>
      <w:r w:rsidR="00AA0543">
        <w:t>,</w:t>
      </w:r>
      <w:r w:rsidRPr="003F2C03">
        <w:t xml:space="preserve"> have very low employment rates.</w:t>
      </w:r>
      <w:r w:rsidRPr="003F2C03">
        <w:rPr>
          <w:vertAlign w:val="superscript"/>
        </w:rPr>
        <w:footnoteReference w:id="14"/>
      </w:r>
      <w:r w:rsidRPr="003F2C03">
        <w:t xml:space="preserve">   </w:t>
      </w:r>
    </w:p>
    <w:p w14:paraId="480F14C4" w14:textId="2ECD5A92" w:rsidR="00BC465B" w:rsidRPr="003F2C03" w:rsidRDefault="00503EC4" w:rsidP="00172FEE">
      <w:pPr>
        <w:pStyle w:val="ListParagraph"/>
        <w:numPr>
          <w:ilvl w:val="0"/>
          <w:numId w:val="43"/>
        </w:numPr>
        <w:tabs>
          <w:tab w:val="left" w:pos="450"/>
        </w:tabs>
        <w:spacing w:before="120"/>
        <w:ind w:left="0" w:right="900" w:firstLine="0"/>
        <w:jc w:val="both"/>
      </w:pPr>
      <w:r w:rsidRPr="003F2C03">
        <w:t>The EU accession</w:t>
      </w:r>
      <w:r w:rsidR="00480A26" w:rsidRPr="003F2C03">
        <w:t xml:space="preserve"> </w:t>
      </w:r>
      <w:r w:rsidRPr="003F2C03">
        <w:t>process determines the</w:t>
      </w:r>
      <w:r w:rsidR="00594EAE" w:rsidRPr="003F2C03">
        <w:t xml:space="preserve"> </w:t>
      </w:r>
      <w:r w:rsidR="006B3524" w:rsidRPr="003F2C03">
        <w:t>new legal</w:t>
      </w:r>
      <w:r w:rsidR="001F2051" w:rsidRPr="003F2C03">
        <w:t xml:space="preserve"> and institutional frameworks</w:t>
      </w:r>
      <w:r w:rsidRPr="003F2C03">
        <w:t xml:space="preserve"> to be adopted</w:t>
      </w:r>
      <w:r w:rsidR="003D428A">
        <w:t>,</w:t>
      </w:r>
      <w:r w:rsidR="001F2051" w:rsidRPr="003F2C03">
        <w:t xml:space="preserve"> </w:t>
      </w:r>
      <w:r w:rsidR="00594EAE" w:rsidRPr="003F2C03">
        <w:t xml:space="preserve">but </w:t>
      </w:r>
      <w:r w:rsidR="00AC37D7" w:rsidRPr="003F2C03">
        <w:t>l</w:t>
      </w:r>
      <w:r w:rsidR="00BC465B" w:rsidRPr="003F2C03">
        <w:t xml:space="preserve">aws and policies </w:t>
      </w:r>
      <w:r w:rsidR="006B3524" w:rsidRPr="003F2C03">
        <w:t>have not</w:t>
      </w:r>
      <w:r w:rsidR="00BC465B" w:rsidRPr="003F2C03">
        <w:t xml:space="preserve"> always </w:t>
      </w:r>
      <w:r w:rsidR="00594EAE" w:rsidRPr="003F2C03">
        <w:t xml:space="preserve">been </w:t>
      </w:r>
      <w:r w:rsidR="00BC465B" w:rsidRPr="003F2C03">
        <w:t>developed in an inclusive and evidence-based manner</w:t>
      </w:r>
      <w:r w:rsidR="00594EAE" w:rsidRPr="003F2C03">
        <w:t xml:space="preserve"> and</w:t>
      </w:r>
      <w:r w:rsidR="00BC465B" w:rsidRPr="003F2C03">
        <w:t xml:space="preserve"> with adequate mechanisms</w:t>
      </w:r>
      <w:r w:rsidR="00107B3F" w:rsidRPr="003F2C03">
        <w:t xml:space="preserve"> </w:t>
      </w:r>
      <w:r w:rsidR="00594EAE" w:rsidRPr="003F2C03">
        <w:t>to ensure change takes place.</w:t>
      </w:r>
      <w:r w:rsidR="00BC465B" w:rsidRPr="003F2C03">
        <w:t xml:space="preserve"> </w:t>
      </w:r>
      <w:r w:rsidR="00594EAE" w:rsidRPr="003F2C03">
        <w:t xml:space="preserve">The pace of reform across sectors has also </w:t>
      </w:r>
      <w:r w:rsidRPr="003F2C03">
        <w:t>been uneven</w:t>
      </w:r>
      <w:r w:rsidR="00AE1347" w:rsidRPr="003F2C03">
        <w:t>.</w:t>
      </w:r>
      <w:r w:rsidRPr="003F2C03">
        <w:t xml:space="preserve"> </w:t>
      </w:r>
      <w:r w:rsidR="002F1BAD" w:rsidRPr="003F2C03">
        <w:t xml:space="preserve">The </w:t>
      </w:r>
      <w:r w:rsidR="003D428A">
        <w:t>p</w:t>
      </w:r>
      <w:r w:rsidR="002F1BAD" w:rsidRPr="003F2C03">
        <w:t xml:space="preserve">ublic </w:t>
      </w:r>
      <w:r w:rsidR="003D428A">
        <w:t>a</w:t>
      </w:r>
      <w:r w:rsidRPr="003F2C03">
        <w:t>dministration</w:t>
      </w:r>
      <w:r w:rsidR="002F1BAD" w:rsidRPr="003F2C03">
        <w:t xml:space="preserve"> </w:t>
      </w:r>
      <w:r w:rsidR="003D428A">
        <w:t>r</w:t>
      </w:r>
      <w:r w:rsidR="00BC465B" w:rsidRPr="003F2C03">
        <w:t xml:space="preserve">eform </w:t>
      </w:r>
      <w:r w:rsidR="002F1BAD" w:rsidRPr="003F2C03">
        <w:t>a</w:t>
      </w:r>
      <w:r w:rsidR="00BC465B" w:rsidRPr="003F2C03">
        <w:t>genda</w:t>
      </w:r>
      <w:r w:rsidR="00DF5FDC" w:rsidRPr="003F2C03">
        <w:t xml:space="preserve">, which is a high priority, </w:t>
      </w:r>
      <w:r w:rsidR="00BC465B" w:rsidRPr="003F2C03">
        <w:t xml:space="preserve">lacks coherence and alignment </w:t>
      </w:r>
      <w:r w:rsidR="00DF5FDC" w:rsidRPr="003F2C03">
        <w:t>in the k</w:t>
      </w:r>
      <w:r w:rsidR="00480A26" w:rsidRPr="003F2C03">
        <w:t>e</w:t>
      </w:r>
      <w:r w:rsidR="00DF5FDC" w:rsidRPr="003F2C03">
        <w:t xml:space="preserve">y </w:t>
      </w:r>
      <w:r w:rsidR="00BC465B" w:rsidRPr="003F2C03">
        <w:t xml:space="preserve">strategic </w:t>
      </w:r>
      <w:r w:rsidR="003D428A">
        <w:t>r</w:t>
      </w:r>
      <w:r w:rsidR="003D428A" w:rsidRPr="003F2C03">
        <w:t xml:space="preserve">eform </w:t>
      </w:r>
      <w:r w:rsidR="00BC465B" w:rsidRPr="003F2C03">
        <w:t>documents</w:t>
      </w:r>
      <w:r w:rsidR="003D428A">
        <w:t>.</w:t>
      </w:r>
      <w:r w:rsidR="00BC465B" w:rsidRPr="003F2C03">
        <w:rPr>
          <w:szCs w:val="16"/>
          <w:vertAlign w:val="superscript"/>
        </w:rPr>
        <w:footnoteReference w:id="15"/>
      </w:r>
      <w:r w:rsidR="00107B3F" w:rsidRPr="003F2C03">
        <w:t xml:space="preserve"> </w:t>
      </w:r>
      <w:r w:rsidR="00BC465B" w:rsidRPr="003F2C03">
        <w:t xml:space="preserve">Similarly, the process of </w:t>
      </w:r>
      <w:r w:rsidR="00BC465B" w:rsidRPr="003F2C03">
        <w:lastRenderedPageBreak/>
        <w:t>decentralization remains incomplete</w:t>
      </w:r>
      <w:r w:rsidR="00113E1C" w:rsidRPr="003F2C03">
        <w:t xml:space="preserve">; despite the </w:t>
      </w:r>
      <w:r w:rsidR="00BC465B" w:rsidRPr="003F2C03">
        <w:t xml:space="preserve">devolution of significant </w:t>
      </w:r>
      <w:r w:rsidR="00995B14" w:rsidRPr="003F2C03">
        <w:t>competencies</w:t>
      </w:r>
      <w:r w:rsidR="00BC465B" w:rsidRPr="003F2C03">
        <w:t>, local governments lack the resources and capacit</w:t>
      </w:r>
      <w:r w:rsidR="00594EAE" w:rsidRPr="003F2C03">
        <w:t>y</w:t>
      </w:r>
      <w:r w:rsidR="00BC465B" w:rsidRPr="003F2C03">
        <w:t xml:space="preserve"> to </w:t>
      </w:r>
      <w:r w:rsidR="00995B14" w:rsidRPr="003F2C03">
        <w:t xml:space="preserve">effectively </w:t>
      </w:r>
      <w:r w:rsidR="00BC465B" w:rsidRPr="003F2C03">
        <w:t>fulfil their</w:t>
      </w:r>
      <w:r w:rsidR="00107B3F" w:rsidRPr="003F2C03">
        <w:t xml:space="preserve"> </w:t>
      </w:r>
      <w:r w:rsidR="00594EAE" w:rsidRPr="003F2C03">
        <w:t>new roles</w:t>
      </w:r>
      <w:r w:rsidR="00BC465B" w:rsidRPr="003F2C03">
        <w:t>.</w:t>
      </w:r>
      <w:r w:rsidR="002F1BAD" w:rsidRPr="003F2C03">
        <w:t xml:space="preserve"> </w:t>
      </w:r>
      <w:r w:rsidR="00AA0543">
        <w:t>Over time, b</w:t>
      </w:r>
      <w:r w:rsidR="002F1BAD" w:rsidRPr="003F2C03">
        <w:t>oth central and local government</w:t>
      </w:r>
      <w:r w:rsidR="00732935">
        <w:t>s</w:t>
      </w:r>
      <w:r w:rsidR="002F1BAD" w:rsidRPr="003F2C03">
        <w:t xml:space="preserve"> will need to increase their capacity to fully benefit f</w:t>
      </w:r>
      <w:r w:rsidR="00F5321D" w:rsidRPr="003F2C03">
        <w:t xml:space="preserve">rom EU </w:t>
      </w:r>
      <w:r w:rsidR="00732935">
        <w:t>i</w:t>
      </w:r>
      <w:r w:rsidR="002F1BAD" w:rsidRPr="003F2C03">
        <w:t xml:space="preserve">nstruments for </w:t>
      </w:r>
      <w:r w:rsidR="00732935">
        <w:t>p</w:t>
      </w:r>
      <w:r w:rsidR="002F1BAD" w:rsidRPr="003F2C03">
        <w:t>re</w:t>
      </w:r>
      <w:r w:rsidR="00732935">
        <w:t>-a</w:t>
      </w:r>
      <w:r w:rsidR="002F1BAD" w:rsidRPr="003F2C03">
        <w:t xml:space="preserve">ccession funding. </w:t>
      </w:r>
    </w:p>
    <w:p w14:paraId="059C7794" w14:textId="008E0697" w:rsidR="00D836D8" w:rsidRPr="003F2C03" w:rsidRDefault="00480A26" w:rsidP="00172FEE">
      <w:pPr>
        <w:pStyle w:val="ListParagraph"/>
        <w:numPr>
          <w:ilvl w:val="0"/>
          <w:numId w:val="45"/>
        </w:numPr>
        <w:tabs>
          <w:tab w:val="left" w:pos="450"/>
        </w:tabs>
        <w:spacing w:before="120"/>
        <w:ind w:left="0" w:right="900" w:firstLine="0"/>
        <w:jc w:val="both"/>
        <w:rPr>
          <w:lang w:val="en-GB"/>
        </w:rPr>
      </w:pPr>
      <w:r w:rsidRPr="003F2C03">
        <w:t>G</w:t>
      </w:r>
      <w:r w:rsidR="002A1664" w:rsidRPr="003F2C03">
        <w:t>ender equality is enshrined in legislation and supported by the Government,</w:t>
      </w:r>
      <w:r w:rsidR="00594EAE" w:rsidRPr="003F2C03">
        <w:t xml:space="preserve"> but </w:t>
      </w:r>
      <w:r w:rsidR="002A1664" w:rsidRPr="003F2C03">
        <w:t>barriers</w:t>
      </w:r>
      <w:r w:rsidR="00594EAE" w:rsidRPr="003F2C03">
        <w:t xml:space="preserve"> such as </w:t>
      </w:r>
      <w:r w:rsidR="00107B3F" w:rsidRPr="003F2C03">
        <w:t>patriarchal</w:t>
      </w:r>
      <w:r w:rsidR="00594EAE" w:rsidRPr="003F2C03">
        <w:t xml:space="preserve"> attitudes and norms</w:t>
      </w:r>
      <w:r w:rsidR="00E126EA" w:rsidRPr="003F2C03">
        <w:t xml:space="preserve"> remain,</w:t>
      </w:r>
      <w:r w:rsidR="00594EAE" w:rsidRPr="003F2C03">
        <w:t xml:space="preserve"> impeding wholesale implementation</w:t>
      </w:r>
      <w:r w:rsidR="00732935">
        <w:t>.</w:t>
      </w:r>
      <w:r w:rsidR="00F46A6F" w:rsidRPr="003F2C03">
        <w:rPr>
          <w:rStyle w:val="FootnoteReference"/>
        </w:rPr>
        <w:footnoteReference w:id="16"/>
      </w:r>
      <w:r w:rsidR="002A1664" w:rsidRPr="003F2C03">
        <w:t xml:space="preserve"> </w:t>
      </w:r>
      <w:r w:rsidR="00594EAE" w:rsidRPr="003F2C03">
        <w:t>W</w:t>
      </w:r>
      <w:r w:rsidR="002A1664" w:rsidRPr="003F2C03">
        <w:t>omen are underrepresented in economic and political decision</w:t>
      </w:r>
      <w:r w:rsidR="00732935">
        <w:t>-</w:t>
      </w:r>
      <w:r w:rsidR="002A1664" w:rsidRPr="003F2C03">
        <w:t xml:space="preserve">making, </w:t>
      </w:r>
      <w:r w:rsidR="00732935">
        <w:t xml:space="preserve">which </w:t>
      </w:r>
      <w:r w:rsidR="002A1664" w:rsidRPr="003F2C03">
        <w:t xml:space="preserve">further deepens gender inequalities. </w:t>
      </w:r>
      <w:r w:rsidR="001002CD" w:rsidRPr="003F2C03">
        <w:t>Women head o</w:t>
      </w:r>
      <w:r w:rsidR="002A1664" w:rsidRPr="003F2C03">
        <w:t xml:space="preserve">nly </w:t>
      </w:r>
      <w:r w:rsidR="00732935">
        <w:t>4</w:t>
      </w:r>
      <w:r w:rsidR="00732935" w:rsidRPr="003F2C03">
        <w:t xml:space="preserve"> </w:t>
      </w:r>
      <w:r w:rsidR="00700D17" w:rsidRPr="003F2C03">
        <w:t xml:space="preserve">out of </w:t>
      </w:r>
      <w:r w:rsidR="00732935">
        <w:t>15</w:t>
      </w:r>
      <w:r w:rsidR="00732935" w:rsidRPr="003F2C03">
        <w:t xml:space="preserve"> </w:t>
      </w:r>
      <w:r w:rsidR="00732935">
        <w:t>m</w:t>
      </w:r>
      <w:r w:rsidR="004E540C" w:rsidRPr="003F2C03">
        <w:t>inistries</w:t>
      </w:r>
      <w:r w:rsidR="00AA0543">
        <w:t xml:space="preserve"> and</w:t>
      </w:r>
      <w:r w:rsidR="00625E66" w:rsidRPr="003F2C03">
        <w:t xml:space="preserve"> represent </w:t>
      </w:r>
      <w:r w:rsidR="002A1664" w:rsidRPr="003F2C03">
        <w:t>17</w:t>
      </w:r>
      <w:r w:rsidR="00732935">
        <w:t xml:space="preserve"> </w:t>
      </w:r>
      <w:r w:rsidR="00AA0543">
        <w:t>per cent</w:t>
      </w:r>
      <w:r w:rsidR="002A1664" w:rsidRPr="003F2C03">
        <w:t xml:space="preserve"> of the National Parliament</w:t>
      </w:r>
      <w:r w:rsidR="00AA0543">
        <w:t>. O</w:t>
      </w:r>
      <w:r w:rsidR="005F3130" w:rsidRPr="003F2C03">
        <w:t>ut of</w:t>
      </w:r>
      <w:r w:rsidR="00D836D8" w:rsidRPr="003F2C03">
        <w:t xml:space="preserve"> </w:t>
      </w:r>
      <w:r w:rsidR="009220FD" w:rsidRPr="003F2C03">
        <w:t xml:space="preserve">23 </w:t>
      </w:r>
      <w:r w:rsidR="00D836D8" w:rsidRPr="003F2C03">
        <w:t>municipalities</w:t>
      </w:r>
      <w:r w:rsidR="00732935">
        <w:t>,</w:t>
      </w:r>
      <w:r w:rsidR="00D836D8" w:rsidRPr="003F2C03">
        <w:t xml:space="preserve"> </w:t>
      </w:r>
      <w:r w:rsidR="002A1664" w:rsidRPr="003F2C03">
        <w:t xml:space="preserve">only </w:t>
      </w:r>
      <w:r w:rsidR="00732935">
        <w:t>3</w:t>
      </w:r>
      <w:r w:rsidR="00732935" w:rsidRPr="003F2C03">
        <w:t xml:space="preserve"> </w:t>
      </w:r>
      <w:r w:rsidR="00732935">
        <w:t xml:space="preserve">have </w:t>
      </w:r>
      <w:r w:rsidR="002A1664" w:rsidRPr="003F2C03">
        <w:t>local assemblies</w:t>
      </w:r>
      <w:r w:rsidR="00732935">
        <w:t xml:space="preserve"> chaired by a woman</w:t>
      </w:r>
      <w:r w:rsidR="00700D17" w:rsidRPr="003F2C03">
        <w:t xml:space="preserve">, </w:t>
      </w:r>
      <w:r w:rsidR="009675AB" w:rsidRPr="003F2C03">
        <w:t xml:space="preserve">and only </w:t>
      </w:r>
      <w:r w:rsidR="00AA0543">
        <w:t>1</w:t>
      </w:r>
      <w:r w:rsidR="00AA0543" w:rsidRPr="003F2C03">
        <w:t xml:space="preserve"> </w:t>
      </w:r>
      <w:r w:rsidR="00732935">
        <w:t>has</w:t>
      </w:r>
      <w:r w:rsidR="00732935" w:rsidRPr="003F2C03">
        <w:t xml:space="preserve"> </w:t>
      </w:r>
      <w:r w:rsidR="00D836D8" w:rsidRPr="003F2C03">
        <w:t>a</w:t>
      </w:r>
      <w:r w:rsidR="00732935">
        <w:t xml:space="preserve"> female</w:t>
      </w:r>
      <w:r w:rsidR="00D836D8" w:rsidRPr="003F2C03">
        <w:t xml:space="preserve"> </w:t>
      </w:r>
      <w:r w:rsidR="00732935">
        <w:t>m</w:t>
      </w:r>
      <w:r w:rsidR="009675AB" w:rsidRPr="003F2C03">
        <w:t>ayor</w:t>
      </w:r>
      <w:r w:rsidR="00700D17" w:rsidRPr="003F2C03">
        <w:t xml:space="preserve">. </w:t>
      </w:r>
      <w:r w:rsidR="002A1664" w:rsidRPr="003F2C03">
        <w:t>Gender-based violence</w:t>
      </w:r>
      <w:r w:rsidR="002038CB" w:rsidRPr="003F2C03">
        <w:t xml:space="preserve"> </w:t>
      </w:r>
      <w:r w:rsidR="002A1664" w:rsidRPr="003F2C03">
        <w:t xml:space="preserve">remains a concern, with </w:t>
      </w:r>
      <w:r w:rsidR="00DB2E21" w:rsidRPr="003F2C03">
        <w:t>every third woman likely to experience some form of violence.</w:t>
      </w:r>
      <w:r w:rsidR="002A1664" w:rsidRPr="003F2C03">
        <w:rPr>
          <w:rStyle w:val="FootnoteReference"/>
        </w:rPr>
        <w:footnoteReference w:id="17"/>
      </w:r>
      <w:r w:rsidR="002A1664" w:rsidRPr="003F2C03">
        <w:t xml:space="preserve"> </w:t>
      </w:r>
      <w:r w:rsidR="001B39F7" w:rsidRPr="003F2C03">
        <w:t xml:space="preserve">However, the </w:t>
      </w:r>
      <w:r w:rsidR="00732935">
        <w:t xml:space="preserve">low </w:t>
      </w:r>
      <w:r w:rsidR="001B39F7" w:rsidRPr="003F2C03">
        <w:t>number of women seeking assistance</w:t>
      </w:r>
      <w:r w:rsidR="001B39F7" w:rsidRPr="003F2C03">
        <w:rPr>
          <w:rStyle w:val="FootnoteReference"/>
        </w:rPr>
        <w:footnoteReference w:id="18"/>
      </w:r>
      <w:r w:rsidR="001B39F7" w:rsidRPr="003F2C03">
        <w:t xml:space="preserve"> indicate</w:t>
      </w:r>
      <w:r w:rsidR="009220FD" w:rsidRPr="003F2C03">
        <w:t>s</w:t>
      </w:r>
      <w:r w:rsidR="001B39F7" w:rsidRPr="003F2C03">
        <w:t xml:space="preserve"> significant underreporting and </w:t>
      </w:r>
      <w:r w:rsidR="00732935">
        <w:t xml:space="preserve">weak </w:t>
      </w:r>
      <w:r w:rsidR="002A1664" w:rsidRPr="003F2C03">
        <w:t>capacit</w:t>
      </w:r>
      <w:r w:rsidR="001B39F7" w:rsidRPr="003F2C03">
        <w:t xml:space="preserve">y to deliver </w:t>
      </w:r>
      <w:r w:rsidR="00107B3F" w:rsidRPr="003F2C03">
        <w:t xml:space="preserve">the </w:t>
      </w:r>
      <w:r w:rsidR="002A1664" w:rsidRPr="003F2C03">
        <w:t xml:space="preserve">multisectoral response </w:t>
      </w:r>
      <w:r w:rsidR="002F1BAD" w:rsidRPr="003F2C03">
        <w:t>necessary</w:t>
      </w:r>
      <w:r w:rsidR="009675AB" w:rsidRPr="003F2C03">
        <w:t xml:space="preserve">. </w:t>
      </w:r>
      <w:r w:rsidR="002A1664" w:rsidRPr="003F2C03">
        <w:t xml:space="preserve">  </w:t>
      </w:r>
    </w:p>
    <w:p w14:paraId="5EA40A1B" w14:textId="66DE09E1" w:rsidR="00D836D8" w:rsidRPr="003F2C03" w:rsidRDefault="007F65E1" w:rsidP="00172FEE">
      <w:pPr>
        <w:pStyle w:val="ListParagraph"/>
        <w:numPr>
          <w:ilvl w:val="0"/>
          <w:numId w:val="45"/>
        </w:numPr>
        <w:tabs>
          <w:tab w:val="left" w:pos="450"/>
        </w:tabs>
        <w:spacing w:before="120"/>
        <w:ind w:left="0" w:right="900" w:firstLine="0"/>
        <w:jc w:val="both"/>
        <w:rPr>
          <w:lang w:val="en-GB"/>
        </w:rPr>
      </w:pPr>
      <w:r w:rsidRPr="003F2C03">
        <w:rPr>
          <w:color w:val="000000"/>
        </w:rPr>
        <w:t xml:space="preserve">Progress on strengthening the </w:t>
      </w:r>
      <w:r w:rsidR="00732935">
        <w:rPr>
          <w:color w:val="000000"/>
        </w:rPr>
        <w:t>r</w:t>
      </w:r>
      <w:r w:rsidRPr="003F2C03">
        <w:rPr>
          <w:color w:val="000000"/>
        </w:rPr>
        <w:t xml:space="preserve">ule of </w:t>
      </w:r>
      <w:r w:rsidR="00732935">
        <w:rPr>
          <w:color w:val="000000"/>
        </w:rPr>
        <w:t>l</w:t>
      </w:r>
      <w:r w:rsidRPr="003F2C03">
        <w:rPr>
          <w:color w:val="000000"/>
        </w:rPr>
        <w:t xml:space="preserve">aw, </w:t>
      </w:r>
      <w:r w:rsidR="003301BC" w:rsidRPr="003F2C03">
        <w:rPr>
          <w:color w:val="000000"/>
        </w:rPr>
        <w:t xml:space="preserve">particularly </w:t>
      </w:r>
      <w:r w:rsidR="00732935">
        <w:rPr>
          <w:color w:val="000000"/>
        </w:rPr>
        <w:t>c</w:t>
      </w:r>
      <w:r w:rsidRPr="003F2C03">
        <w:rPr>
          <w:color w:val="000000"/>
        </w:rPr>
        <w:t xml:space="preserve">hapters 23 and 24 in the </w:t>
      </w:r>
      <w:r w:rsidRPr="00AA0543">
        <w:rPr>
          <w:color w:val="000000"/>
        </w:rPr>
        <w:t>Acquis</w:t>
      </w:r>
      <w:r w:rsidR="00AA0543">
        <w:rPr>
          <w:color w:val="000000"/>
        </w:rPr>
        <w:t xml:space="preserve"> Communautaire</w:t>
      </w:r>
      <w:r w:rsidRPr="003F2C03">
        <w:rPr>
          <w:color w:val="000000"/>
        </w:rPr>
        <w:t xml:space="preserve">, is a key condition for EU </w:t>
      </w:r>
      <w:r w:rsidR="00732935">
        <w:rPr>
          <w:color w:val="000000"/>
        </w:rPr>
        <w:t>a</w:t>
      </w:r>
      <w:r w:rsidRPr="003F2C03">
        <w:rPr>
          <w:color w:val="000000"/>
        </w:rPr>
        <w:t xml:space="preserve">ccession. </w:t>
      </w:r>
      <w:r w:rsidR="008270C2" w:rsidRPr="003F2C03">
        <w:rPr>
          <w:color w:val="000000"/>
        </w:rPr>
        <w:t xml:space="preserve">Public confidence in the </w:t>
      </w:r>
      <w:r w:rsidR="00DC37BA" w:rsidRPr="003F2C03">
        <w:rPr>
          <w:color w:val="000000"/>
        </w:rPr>
        <w:t>ju</w:t>
      </w:r>
      <w:r w:rsidR="008270C2" w:rsidRPr="003F2C03">
        <w:rPr>
          <w:color w:val="000000"/>
        </w:rPr>
        <w:t>dici</w:t>
      </w:r>
      <w:r w:rsidR="00107B3F" w:rsidRPr="003F2C03">
        <w:rPr>
          <w:color w:val="000000"/>
        </w:rPr>
        <w:t xml:space="preserve">ary </w:t>
      </w:r>
      <w:r w:rsidR="008270C2" w:rsidRPr="003F2C03">
        <w:rPr>
          <w:color w:val="000000"/>
        </w:rPr>
        <w:t xml:space="preserve">remains low. </w:t>
      </w:r>
      <w:r w:rsidR="00EC1A90" w:rsidRPr="003F2C03">
        <w:rPr>
          <w:color w:val="000000"/>
        </w:rPr>
        <w:t xml:space="preserve">Compared to the executive and legislative </w:t>
      </w:r>
      <w:r w:rsidR="00107B3F" w:rsidRPr="003F2C03">
        <w:rPr>
          <w:color w:val="000000"/>
        </w:rPr>
        <w:t>branches,</w:t>
      </w:r>
      <w:r w:rsidR="00EC1A90" w:rsidRPr="003F2C03">
        <w:rPr>
          <w:color w:val="000000"/>
        </w:rPr>
        <w:t xml:space="preserve"> the judicial </w:t>
      </w:r>
      <w:r w:rsidR="00655A27" w:rsidRPr="003F2C03">
        <w:rPr>
          <w:color w:val="000000"/>
        </w:rPr>
        <w:t>branch has</w:t>
      </w:r>
      <w:r w:rsidR="00EC1A90" w:rsidRPr="003F2C03">
        <w:rPr>
          <w:color w:val="000000"/>
        </w:rPr>
        <w:t xml:space="preserve"> limited capacity, financial resources</w:t>
      </w:r>
      <w:r w:rsidR="005F1642" w:rsidRPr="003F2C03">
        <w:rPr>
          <w:color w:val="000000"/>
        </w:rPr>
        <w:t xml:space="preserve"> and independence</w:t>
      </w:r>
      <w:r w:rsidR="00732935">
        <w:rPr>
          <w:color w:val="000000"/>
        </w:rPr>
        <w:t>.</w:t>
      </w:r>
      <w:r w:rsidR="005F1642" w:rsidRPr="003F2C03">
        <w:rPr>
          <w:color w:val="000000"/>
        </w:rPr>
        <w:t xml:space="preserve"> </w:t>
      </w:r>
      <w:r w:rsidR="00107B3F" w:rsidRPr="003F2C03">
        <w:rPr>
          <w:color w:val="000000"/>
        </w:rPr>
        <w:t>L</w:t>
      </w:r>
      <w:r w:rsidR="00BD3DAB" w:rsidRPr="003F2C03">
        <w:rPr>
          <w:color w:val="000000"/>
        </w:rPr>
        <w:t xml:space="preserve">egislation to </w:t>
      </w:r>
      <w:r w:rsidR="003F2C03" w:rsidRPr="003F2C03">
        <w:rPr>
          <w:color w:val="000000"/>
        </w:rPr>
        <w:t xml:space="preserve">increase </w:t>
      </w:r>
      <w:r w:rsidR="00732935">
        <w:rPr>
          <w:color w:val="000000"/>
        </w:rPr>
        <w:t xml:space="preserve">its </w:t>
      </w:r>
      <w:r w:rsidR="003F2C03" w:rsidRPr="003F2C03">
        <w:rPr>
          <w:color w:val="000000"/>
        </w:rPr>
        <w:t>independence</w:t>
      </w:r>
      <w:r w:rsidR="00BD3DAB" w:rsidRPr="003F2C03">
        <w:rPr>
          <w:color w:val="000000"/>
        </w:rPr>
        <w:t xml:space="preserve"> and prof</w:t>
      </w:r>
      <w:r w:rsidR="00E46439" w:rsidRPr="003F2C03">
        <w:rPr>
          <w:color w:val="000000"/>
        </w:rPr>
        <w:t xml:space="preserve">essionalism </w:t>
      </w:r>
      <w:r w:rsidR="00732935">
        <w:rPr>
          <w:color w:val="000000"/>
        </w:rPr>
        <w:t>is in place</w:t>
      </w:r>
      <w:r w:rsidR="005F1642" w:rsidRPr="003F2C03">
        <w:rPr>
          <w:color w:val="000000"/>
        </w:rPr>
        <w:t xml:space="preserve"> </w:t>
      </w:r>
      <w:r w:rsidR="009220FD" w:rsidRPr="003F2C03">
        <w:rPr>
          <w:color w:val="000000"/>
        </w:rPr>
        <w:t xml:space="preserve">but </w:t>
      </w:r>
      <w:r w:rsidR="005F1642" w:rsidRPr="003F2C03">
        <w:rPr>
          <w:color w:val="000000"/>
        </w:rPr>
        <w:t>is not</w:t>
      </w:r>
      <w:r w:rsidR="00BD3DAB" w:rsidRPr="003F2C03">
        <w:rPr>
          <w:color w:val="000000"/>
        </w:rPr>
        <w:t xml:space="preserve"> fully app</w:t>
      </w:r>
      <w:r w:rsidR="00E46439" w:rsidRPr="003F2C03">
        <w:rPr>
          <w:color w:val="000000"/>
        </w:rPr>
        <w:t>lied in practice</w:t>
      </w:r>
      <w:r w:rsidR="00732935">
        <w:rPr>
          <w:color w:val="000000"/>
        </w:rPr>
        <w:t>.</w:t>
      </w:r>
      <w:r w:rsidR="007374E9" w:rsidRPr="003F2C03">
        <w:rPr>
          <w:rStyle w:val="FootnoteReference"/>
          <w:color w:val="000000"/>
        </w:rPr>
        <w:footnoteReference w:id="19"/>
      </w:r>
      <w:r w:rsidR="00E46439" w:rsidRPr="003F2C03">
        <w:rPr>
          <w:color w:val="000000"/>
        </w:rPr>
        <w:t xml:space="preserve"> </w:t>
      </w:r>
      <w:r w:rsidR="00645E7B" w:rsidRPr="003F2C03">
        <w:t>Montenegro has ratified all major international human rights conventions and has since provided regular reports on their implementation. However, challenges remain with regard to discrimination and exclusion of people with disabilities, Roma</w:t>
      </w:r>
      <w:r w:rsidR="002075ED">
        <w:t xml:space="preserve"> people</w:t>
      </w:r>
      <w:r w:rsidR="00645E7B" w:rsidRPr="003F2C03">
        <w:t xml:space="preserve"> </w:t>
      </w:r>
      <w:r w:rsidR="00732935">
        <w:t>and</w:t>
      </w:r>
      <w:r w:rsidR="00AE1347" w:rsidRPr="003F2C03">
        <w:rPr>
          <w:color w:val="000000"/>
          <w:lang w:val="en-GB"/>
        </w:rPr>
        <w:t xml:space="preserve"> lesbian, gay, bisexual, transgender and intersexual</w:t>
      </w:r>
      <w:r w:rsidR="002075ED">
        <w:rPr>
          <w:color w:val="000000"/>
          <w:lang w:val="en-GB"/>
        </w:rPr>
        <w:t xml:space="preserve"> </w:t>
      </w:r>
      <w:r w:rsidR="00AE1347" w:rsidRPr="003F2C03">
        <w:rPr>
          <w:color w:val="000000"/>
          <w:lang w:val="en-GB"/>
        </w:rPr>
        <w:t>people</w:t>
      </w:r>
      <w:r w:rsidR="00645E7B" w:rsidRPr="003F2C03">
        <w:t>.</w:t>
      </w:r>
    </w:p>
    <w:p w14:paraId="5624A77E" w14:textId="52F916DC" w:rsidR="00D836D8" w:rsidRPr="003F2C03" w:rsidRDefault="00BD3DAB" w:rsidP="00172FEE">
      <w:pPr>
        <w:pStyle w:val="ListParagraph"/>
        <w:numPr>
          <w:ilvl w:val="0"/>
          <w:numId w:val="45"/>
        </w:numPr>
        <w:tabs>
          <w:tab w:val="left" w:pos="450"/>
        </w:tabs>
        <w:spacing w:before="120"/>
        <w:ind w:left="0" w:right="900" w:firstLine="0"/>
        <w:jc w:val="both"/>
        <w:rPr>
          <w:lang w:val="en-GB"/>
        </w:rPr>
      </w:pPr>
      <w:r w:rsidRPr="003F2C03">
        <w:t>Montenegro</w:t>
      </w:r>
      <w:r w:rsidR="00BD5D52" w:rsidRPr="003F2C03">
        <w:t xml:space="preserve"> has</w:t>
      </w:r>
      <w:r w:rsidRPr="003F2C03">
        <w:t xml:space="preserve"> </w:t>
      </w:r>
      <w:r w:rsidR="000D1255" w:rsidRPr="003F2C03">
        <w:t xml:space="preserve">made a firm commitment to promote </w:t>
      </w:r>
      <w:r w:rsidRPr="003F2C03">
        <w:t xml:space="preserve">green growth and the </w:t>
      </w:r>
      <w:r w:rsidR="00732935">
        <w:t>‘e</w:t>
      </w:r>
      <w:r w:rsidRPr="003F2C03">
        <w:t>co-</w:t>
      </w:r>
      <w:r w:rsidR="00732935">
        <w:t>s</w:t>
      </w:r>
      <w:r w:rsidRPr="003F2C03">
        <w:t>tate</w:t>
      </w:r>
      <w:r w:rsidR="00732935">
        <w:t>’</w:t>
      </w:r>
      <w:r w:rsidRPr="003F2C03">
        <w:t xml:space="preserve"> concept</w:t>
      </w:r>
      <w:r w:rsidR="00732935">
        <w:t>.</w:t>
      </w:r>
      <w:r w:rsidR="00B615E3" w:rsidRPr="003F2C03">
        <w:rPr>
          <w:rStyle w:val="FootnoteReference"/>
        </w:rPr>
        <w:footnoteReference w:id="20"/>
      </w:r>
      <w:r w:rsidR="000D1255" w:rsidRPr="003F2C03">
        <w:t xml:space="preserve"> </w:t>
      </w:r>
      <w:r w:rsidR="007F65E1" w:rsidRPr="003F2C03">
        <w:t>O</w:t>
      </w:r>
      <w:r w:rsidR="001A2590" w:rsidRPr="003F2C03">
        <w:t xml:space="preserve">ver the past decade </w:t>
      </w:r>
      <w:r w:rsidR="003F1D81" w:rsidRPr="003F2C03">
        <w:t xml:space="preserve">the country </w:t>
      </w:r>
      <w:r w:rsidR="007F65E1" w:rsidRPr="003F2C03">
        <w:t xml:space="preserve">has </w:t>
      </w:r>
      <w:r w:rsidR="003F1D81" w:rsidRPr="003F2C03">
        <w:t xml:space="preserve">made </w:t>
      </w:r>
      <w:r w:rsidR="001A2590" w:rsidRPr="003F2C03">
        <w:t>i</w:t>
      </w:r>
      <w:r w:rsidR="000D1255" w:rsidRPr="003F2C03">
        <w:t xml:space="preserve">mportant </w:t>
      </w:r>
      <w:r w:rsidR="00107B3F" w:rsidRPr="003F2C03">
        <w:t>steps to</w:t>
      </w:r>
      <w:r w:rsidR="001A2590" w:rsidRPr="003F2C03">
        <w:t xml:space="preserve"> </w:t>
      </w:r>
      <w:r w:rsidRPr="003F2C03">
        <w:t>align</w:t>
      </w:r>
      <w:r w:rsidR="002A6030" w:rsidRPr="003F2C03">
        <w:t xml:space="preserve"> </w:t>
      </w:r>
      <w:r w:rsidR="001A2590" w:rsidRPr="003F2C03">
        <w:t xml:space="preserve">its </w:t>
      </w:r>
      <w:r w:rsidRPr="003F2C03">
        <w:t>legal and policy frameworks with international environmental norms and s</w:t>
      </w:r>
      <w:r w:rsidR="00E46439" w:rsidRPr="003F2C03">
        <w:t>tandards</w:t>
      </w:r>
      <w:r w:rsidR="003F1D81" w:rsidRPr="003F2C03">
        <w:t xml:space="preserve">, </w:t>
      </w:r>
      <w:r w:rsidR="007F65E1" w:rsidRPr="003F2C03">
        <w:t xml:space="preserve">but </w:t>
      </w:r>
      <w:r w:rsidR="00BD5D52" w:rsidRPr="003F2C03">
        <w:t>challenges persist</w:t>
      </w:r>
      <w:r w:rsidR="007F65E1" w:rsidRPr="003F2C03">
        <w:t xml:space="preserve"> in</w:t>
      </w:r>
      <w:r w:rsidR="00BD5D52" w:rsidRPr="003F2C03">
        <w:t xml:space="preserve"> </w:t>
      </w:r>
      <w:r w:rsidRPr="003F2C03">
        <w:t>implementation</w:t>
      </w:r>
      <w:r w:rsidR="001A2590" w:rsidRPr="003F2C03">
        <w:t>.</w:t>
      </w:r>
      <w:r w:rsidRPr="003F2C03">
        <w:t xml:space="preserve"> </w:t>
      </w:r>
      <w:r w:rsidR="00732935">
        <w:t>These include</w:t>
      </w:r>
      <w:r w:rsidR="00736903" w:rsidRPr="003F2C03">
        <w:t xml:space="preserve"> </w:t>
      </w:r>
      <w:r w:rsidR="002A6030" w:rsidRPr="003F2C03">
        <w:t>l</w:t>
      </w:r>
      <w:r w:rsidR="00CD1A6B" w:rsidRPr="003F2C03">
        <w:t xml:space="preserve">ack of </w:t>
      </w:r>
      <w:r w:rsidR="00A90ABB">
        <w:t xml:space="preserve">the </w:t>
      </w:r>
      <w:r w:rsidR="00CD1A6B" w:rsidRPr="003F2C03">
        <w:t>administrative capacities and financial resources</w:t>
      </w:r>
      <w:r w:rsidR="00732126" w:rsidRPr="003F2C03">
        <w:t xml:space="preserve"> to effectively regulate urban development and implement </w:t>
      </w:r>
      <w:r w:rsidR="00CD1A6B" w:rsidRPr="003F2C03">
        <w:t>environmental regulations</w:t>
      </w:r>
      <w:r w:rsidR="00732935">
        <w:t>;</w:t>
      </w:r>
      <w:r w:rsidR="00CD1A6B" w:rsidRPr="003F2C03">
        <w:t xml:space="preserve"> lack of systematic integration of environmental, climate and disaster management </w:t>
      </w:r>
      <w:r w:rsidR="00676881" w:rsidRPr="003F2C03">
        <w:t>practices in all sectors</w:t>
      </w:r>
      <w:r w:rsidR="00732935">
        <w:t>;</w:t>
      </w:r>
      <w:r w:rsidR="00676881" w:rsidRPr="003F2C03">
        <w:t xml:space="preserve"> and</w:t>
      </w:r>
      <w:r w:rsidR="00BD61E0" w:rsidRPr="003F2C03">
        <w:t xml:space="preserve"> </w:t>
      </w:r>
      <w:r w:rsidR="00676881" w:rsidRPr="003F2C03">
        <w:t xml:space="preserve">an </w:t>
      </w:r>
      <w:r w:rsidR="00BD61E0" w:rsidRPr="003F2C03">
        <w:t>under</w:t>
      </w:r>
      <w:r w:rsidR="00CD1A6B" w:rsidRPr="003F2C03">
        <w:t xml:space="preserve">developed waste management </w:t>
      </w:r>
      <w:r w:rsidR="00676881" w:rsidRPr="003F2C03">
        <w:t xml:space="preserve">and water quality monitoring </w:t>
      </w:r>
      <w:r w:rsidR="00CD1A6B" w:rsidRPr="003F2C03">
        <w:t>system</w:t>
      </w:r>
      <w:r w:rsidR="00676881" w:rsidRPr="003F2C03">
        <w:t xml:space="preserve">. </w:t>
      </w:r>
      <w:r w:rsidR="00CD1A6B" w:rsidRPr="003F2C03">
        <w:t xml:space="preserve">The public perceives </w:t>
      </w:r>
      <w:r w:rsidR="00890510" w:rsidRPr="003F2C03">
        <w:t xml:space="preserve">that </w:t>
      </w:r>
      <w:r w:rsidR="008949EF" w:rsidRPr="003F2C03">
        <w:t>environment</w:t>
      </w:r>
      <w:r w:rsidR="00890510" w:rsidRPr="003F2C03">
        <w:t>al conditions are</w:t>
      </w:r>
      <w:r w:rsidR="0097604C" w:rsidRPr="003F2C03">
        <w:t xml:space="preserve"> </w:t>
      </w:r>
      <w:r w:rsidR="00CD1A6B" w:rsidRPr="003F2C03">
        <w:t>rapidly declining, with particular concerns about pollution and the exploitation of natural resource</w:t>
      </w:r>
      <w:r w:rsidR="00480A26" w:rsidRPr="003F2C03">
        <w:t>s</w:t>
      </w:r>
      <w:r w:rsidR="00CD1A6B" w:rsidRPr="003F2C03">
        <w:t>.</w:t>
      </w:r>
      <w:r w:rsidR="00CD1A6B" w:rsidRPr="003F2C03">
        <w:rPr>
          <w:rStyle w:val="FootnoteReference"/>
        </w:rPr>
        <w:footnoteReference w:id="21"/>
      </w:r>
    </w:p>
    <w:p w14:paraId="573A6603" w14:textId="434B8994" w:rsidR="00D836D8" w:rsidRPr="003F2C03" w:rsidRDefault="007B616F" w:rsidP="00172FEE">
      <w:pPr>
        <w:pStyle w:val="ListParagraph"/>
        <w:numPr>
          <w:ilvl w:val="0"/>
          <w:numId w:val="45"/>
        </w:numPr>
        <w:tabs>
          <w:tab w:val="left" w:pos="450"/>
          <w:tab w:val="left" w:pos="540"/>
        </w:tabs>
        <w:spacing w:before="120"/>
        <w:ind w:left="0" w:right="900" w:firstLine="0"/>
        <w:jc w:val="both"/>
        <w:rPr>
          <w:lang w:val="en-GB"/>
        </w:rPr>
      </w:pPr>
      <w:r w:rsidRPr="003F2C03">
        <w:rPr>
          <w:lang w:val="en-GB"/>
        </w:rPr>
        <w:t xml:space="preserve">Evaluations confirm that </w:t>
      </w:r>
      <w:r w:rsidR="00A90ABB" w:rsidRPr="003F2C03">
        <w:rPr>
          <w:lang w:val="en-GB"/>
        </w:rPr>
        <w:t>UNDP</w:t>
      </w:r>
      <w:r w:rsidR="00A90ABB">
        <w:rPr>
          <w:lang w:val="en-GB"/>
        </w:rPr>
        <w:t xml:space="preserve"> w</w:t>
      </w:r>
      <w:r w:rsidR="00A90ABB" w:rsidRPr="003F2C03">
        <w:rPr>
          <w:lang w:val="en-GB"/>
        </w:rPr>
        <w:t xml:space="preserve">as a key </w:t>
      </w:r>
      <w:r w:rsidR="00A90ABB">
        <w:rPr>
          <w:lang w:val="en-GB"/>
        </w:rPr>
        <w:t>g</w:t>
      </w:r>
      <w:r w:rsidR="00A90ABB" w:rsidRPr="003F2C03">
        <w:rPr>
          <w:lang w:val="en-GB"/>
        </w:rPr>
        <w:t>overnment partner</w:t>
      </w:r>
      <w:r w:rsidR="00A90ABB">
        <w:rPr>
          <w:lang w:val="en-GB"/>
        </w:rPr>
        <w:t xml:space="preserve"> in</w:t>
      </w:r>
      <w:r w:rsidR="003F2C03" w:rsidRPr="003F2C03">
        <w:rPr>
          <w:lang w:val="en-GB"/>
        </w:rPr>
        <w:t xml:space="preserve"> </w:t>
      </w:r>
      <w:r w:rsidR="00732935">
        <w:rPr>
          <w:lang w:val="en-GB"/>
        </w:rPr>
        <w:t xml:space="preserve">the </w:t>
      </w:r>
      <w:r w:rsidR="003F2C03" w:rsidRPr="003F2C03">
        <w:rPr>
          <w:lang w:val="en-GB"/>
        </w:rPr>
        <w:t>2012</w:t>
      </w:r>
      <w:r w:rsidR="001C6382" w:rsidRPr="003F2C03">
        <w:rPr>
          <w:lang w:val="en-GB"/>
        </w:rPr>
        <w:t xml:space="preserve">-2016 </w:t>
      </w:r>
      <w:r w:rsidR="00732935">
        <w:rPr>
          <w:lang w:val="en-GB"/>
        </w:rPr>
        <w:t>country programme</w:t>
      </w:r>
      <w:r w:rsidR="00AE1347" w:rsidRPr="003F2C03">
        <w:rPr>
          <w:lang w:val="en-GB"/>
        </w:rPr>
        <w:t xml:space="preserve"> </w:t>
      </w:r>
      <w:r w:rsidR="001C6382" w:rsidRPr="003F2C03">
        <w:rPr>
          <w:lang w:val="en-GB"/>
        </w:rPr>
        <w:t>cycle</w:t>
      </w:r>
      <w:r w:rsidR="00A90ABB">
        <w:rPr>
          <w:lang w:val="en-GB"/>
        </w:rPr>
        <w:t xml:space="preserve"> and</w:t>
      </w:r>
      <w:r w:rsidR="001C6382" w:rsidRPr="003F2C03">
        <w:rPr>
          <w:lang w:val="en-GB"/>
        </w:rPr>
        <w:t xml:space="preserve"> successfull</w:t>
      </w:r>
      <w:r w:rsidR="00890510" w:rsidRPr="003F2C03">
        <w:rPr>
          <w:lang w:val="en-GB"/>
        </w:rPr>
        <w:t xml:space="preserve">y contributed to addressing many of the </w:t>
      </w:r>
      <w:r w:rsidR="001C6382" w:rsidRPr="003F2C03">
        <w:rPr>
          <w:lang w:val="en-GB"/>
        </w:rPr>
        <w:t>challenges</w:t>
      </w:r>
      <w:r w:rsidR="00890510" w:rsidRPr="003F2C03">
        <w:rPr>
          <w:lang w:val="en-GB"/>
        </w:rPr>
        <w:t xml:space="preserve"> mentioned. </w:t>
      </w:r>
      <w:r w:rsidR="00A90ABB">
        <w:rPr>
          <w:lang w:val="en-GB"/>
        </w:rPr>
        <w:t>UNDP</w:t>
      </w:r>
      <w:r w:rsidR="00A90ABB" w:rsidRPr="003F2C03">
        <w:rPr>
          <w:lang w:val="en-GB"/>
        </w:rPr>
        <w:t xml:space="preserve"> </w:t>
      </w:r>
      <w:r w:rsidR="00890510" w:rsidRPr="003F2C03">
        <w:rPr>
          <w:lang w:val="en-GB"/>
        </w:rPr>
        <w:t>has</w:t>
      </w:r>
      <w:r w:rsidR="001C6382" w:rsidRPr="003F2C03">
        <w:rPr>
          <w:lang w:val="en-GB"/>
        </w:rPr>
        <w:t xml:space="preserve"> </w:t>
      </w:r>
      <w:r w:rsidR="00890510" w:rsidRPr="003F2C03">
        <w:rPr>
          <w:lang w:val="en-GB"/>
        </w:rPr>
        <w:t>gained</w:t>
      </w:r>
      <w:r w:rsidR="00107B3F" w:rsidRPr="003F2C03">
        <w:rPr>
          <w:lang w:val="en-GB"/>
        </w:rPr>
        <w:t xml:space="preserve"> recognition</w:t>
      </w:r>
      <w:r w:rsidR="001C6382" w:rsidRPr="003F2C03">
        <w:rPr>
          <w:lang w:val="en-GB"/>
        </w:rPr>
        <w:t xml:space="preserve"> nationally and internation</w:t>
      </w:r>
      <w:r w:rsidR="00890510" w:rsidRPr="003F2C03">
        <w:rPr>
          <w:lang w:val="en-GB"/>
        </w:rPr>
        <w:t xml:space="preserve">ally for </w:t>
      </w:r>
      <w:r w:rsidRPr="003F2C03">
        <w:rPr>
          <w:lang w:val="en-GB"/>
        </w:rPr>
        <w:t>using</w:t>
      </w:r>
      <w:r w:rsidR="00890510" w:rsidRPr="003F2C03">
        <w:rPr>
          <w:lang w:val="en-GB"/>
        </w:rPr>
        <w:t xml:space="preserve"> innovation to enhance </w:t>
      </w:r>
      <w:r w:rsidR="001C6382" w:rsidRPr="003F2C03">
        <w:rPr>
          <w:lang w:val="en-GB"/>
        </w:rPr>
        <w:t>transparency</w:t>
      </w:r>
      <w:r w:rsidR="00732935">
        <w:rPr>
          <w:lang w:val="en-GB"/>
        </w:rPr>
        <w:t xml:space="preserve"> and</w:t>
      </w:r>
      <w:r w:rsidR="00890510" w:rsidRPr="003F2C03">
        <w:rPr>
          <w:lang w:val="en-GB"/>
        </w:rPr>
        <w:t xml:space="preserve"> social protection</w:t>
      </w:r>
      <w:r w:rsidR="001C6382" w:rsidRPr="003F2C03">
        <w:rPr>
          <w:lang w:val="en-GB"/>
        </w:rPr>
        <w:t xml:space="preserve"> and </w:t>
      </w:r>
      <w:r w:rsidRPr="003F2C03">
        <w:rPr>
          <w:lang w:val="en-GB"/>
        </w:rPr>
        <w:t>to</w:t>
      </w:r>
      <w:r w:rsidR="00890510" w:rsidRPr="003F2C03">
        <w:rPr>
          <w:lang w:val="en-GB"/>
        </w:rPr>
        <w:t xml:space="preserve"> </w:t>
      </w:r>
      <w:r w:rsidR="001C6382" w:rsidRPr="003F2C03">
        <w:rPr>
          <w:lang w:val="en-GB"/>
        </w:rPr>
        <w:t>promot</w:t>
      </w:r>
      <w:r w:rsidRPr="003F2C03">
        <w:rPr>
          <w:lang w:val="en-GB"/>
        </w:rPr>
        <w:t>e</w:t>
      </w:r>
      <w:r w:rsidR="001C6382" w:rsidRPr="003F2C03">
        <w:rPr>
          <w:lang w:val="en-GB"/>
        </w:rPr>
        <w:t xml:space="preserve"> sustainable practices. The impact of UNDP activities ha</w:t>
      </w:r>
      <w:r w:rsidR="00732935">
        <w:rPr>
          <w:lang w:val="en-GB"/>
        </w:rPr>
        <w:t>s</w:t>
      </w:r>
      <w:r w:rsidR="001C6382" w:rsidRPr="003F2C03">
        <w:rPr>
          <w:lang w:val="en-GB"/>
        </w:rPr>
        <w:t xml:space="preserve"> been maximized through effective </w:t>
      </w:r>
      <w:r w:rsidR="00F36EB3" w:rsidRPr="003F2C03">
        <w:rPr>
          <w:lang w:val="en-GB"/>
        </w:rPr>
        <w:t>partnership</w:t>
      </w:r>
      <w:r w:rsidR="00732935">
        <w:rPr>
          <w:lang w:val="en-GB"/>
        </w:rPr>
        <w:t>s</w:t>
      </w:r>
      <w:r w:rsidR="00F36EB3" w:rsidRPr="003F2C03">
        <w:rPr>
          <w:lang w:val="en-GB"/>
        </w:rPr>
        <w:t xml:space="preserve"> with </w:t>
      </w:r>
      <w:r w:rsidR="00732935">
        <w:rPr>
          <w:lang w:val="en-GB"/>
        </w:rPr>
        <w:t xml:space="preserve">the </w:t>
      </w:r>
      <w:r w:rsidR="00890510" w:rsidRPr="003F2C03">
        <w:rPr>
          <w:lang w:val="en-GB"/>
        </w:rPr>
        <w:t>Government</w:t>
      </w:r>
      <w:r w:rsidR="001C6382" w:rsidRPr="003F2C03">
        <w:rPr>
          <w:lang w:val="en-GB"/>
        </w:rPr>
        <w:t xml:space="preserve">, donors </w:t>
      </w:r>
      <w:r w:rsidR="003F2C03" w:rsidRPr="003F2C03">
        <w:rPr>
          <w:lang w:val="en-GB"/>
        </w:rPr>
        <w:t>and other</w:t>
      </w:r>
      <w:r w:rsidR="00F36EB3" w:rsidRPr="003F2C03">
        <w:rPr>
          <w:lang w:val="en-GB"/>
        </w:rPr>
        <w:t xml:space="preserve"> </w:t>
      </w:r>
      <w:r w:rsidR="00732935">
        <w:rPr>
          <w:lang w:val="en-GB"/>
        </w:rPr>
        <w:t>United Nations</w:t>
      </w:r>
      <w:r w:rsidR="00732935" w:rsidRPr="003F2C03">
        <w:rPr>
          <w:lang w:val="en-GB"/>
        </w:rPr>
        <w:t xml:space="preserve"> </w:t>
      </w:r>
      <w:r w:rsidR="001C6382" w:rsidRPr="003F2C03">
        <w:rPr>
          <w:lang w:val="en-GB"/>
        </w:rPr>
        <w:t>partners under the Delivering as One</w:t>
      </w:r>
      <w:r w:rsidR="004B538A" w:rsidRPr="003F2C03">
        <w:rPr>
          <w:lang w:val="en-GB"/>
        </w:rPr>
        <w:t xml:space="preserve"> </w:t>
      </w:r>
      <w:r w:rsidR="001C6382" w:rsidRPr="003F2C03">
        <w:rPr>
          <w:lang w:val="en-GB"/>
        </w:rPr>
        <w:t>framework</w:t>
      </w:r>
      <w:r w:rsidR="005C1209" w:rsidRPr="003F2C03">
        <w:rPr>
          <w:lang w:val="en-GB"/>
        </w:rPr>
        <w:t xml:space="preserve">. </w:t>
      </w:r>
      <w:r w:rsidR="00732935">
        <w:rPr>
          <w:lang w:val="en-GB"/>
        </w:rPr>
        <w:t>Montenegro is</w:t>
      </w:r>
      <w:r w:rsidR="00732935" w:rsidRPr="003F2C03">
        <w:rPr>
          <w:lang w:val="en-GB"/>
        </w:rPr>
        <w:t xml:space="preserve"> </w:t>
      </w:r>
      <w:r w:rsidR="005C1209" w:rsidRPr="003F2C03">
        <w:rPr>
          <w:lang w:val="en-GB"/>
        </w:rPr>
        <w:t xml:space="preserve">a </w:t>
      </w:r>
      <w:r w:rsidR="00732935">
        <w:rPr>
          <w:lang w:val="en-GB"/>
        </w:rPr>
        <w:t>‘</w:t>
      </w:r>
      <w:r w:rsidR="005C1209" w:rsidRPr="003F2C03">
        <w:rPr>
          <w:lang w:val="en-GB"/>
        </w:rPr>
        <w:t>self</w:t>
      </w:r>
      <w:r w:rsidR="00612849" w:rsidRPr="003F2C03">
        <w:rPr>
          <w:lang w:val="en-GB"/>
        </w:rPr>
        <w:t>-</w:t>
      </w:r>
      <w:r w:rsidR="005C1209" w:rsidRPr="003F2C03">
        <w:rPr>
          <w:lang w:val="en-GB"/>
        </w:rPr>
        <w:t>starter</w:t>
      </w:r>
      <w:r w:rsidR="00732935">
        <w:rPr>
          <w:lang w:val="en-GB"/>
        </w:rPr>
        <w:t>’</w:t>
      </w:r>
      <w:r w:rsidR="005C1209" w:rsidRPr="003F2C03">
        <w:rPr>
          <w:lang w:val="en-GB"/>
        </w:rPr>
        <w:t xml:space="preserve"> </w:t>
      </w:r>
      <w:r w:rsidR="00732935">
        <w:rPr>
          <w:lang w:val="en-GB"/>
        </w:rPr>
        <w:t>Delivering as One</w:t>
      </w:r>
      <w:r w:rsidR="00732935" w:rsidRPr="003F2C03">
        <w:rPr>
          <w:lang w:val="en-GB"/>
        </w:rPr>
        <w:t xml:space="preserve"> </w:t>
      </w:r>
      <w:r w:rsidRPr="003F2C03">
        <w:rPr>
          <w:lang w:val="en-GB"/>
        </w:rPr>
        <w:t>country</w:t>
      </w:r>
      <w:r w:rsidR="005C1209" w:rsidRPr="003F2C03">
        <w:rPr>
          <w:lang w:val="en-GB"/>
        </w:rPr>
        <w:t xml:space="preserve">, </w:t>
      </w:r>
      <w:r w:rsidR="00732935">
        <w:rPr>
          <w:lang w:val="en-GB"/>
        </w:rPr>
        <w:t xml:space="preserve">and </w:t>
      </w:r>
      <w:r w:rsidR="005C1209" w:rsidRPr="003F2C03">
        <w:rPr>
          <w:lang w:val="en-GB"/>
        </w:rPr>
        <w:t xml:space="preserve">the </w:t>
      </w:r>
      <w:r w:rsidR="004B538A" w:rsidRPr="003F2C03">
        <w:rPr>
          <w:lang w:val="en-GB"/>
        </w:rPr>
        <w:t>U</w:t>
      </w:r>
      <w:r w:rsidR="00732935">
        <w:rPr>
          <w:lang w:val="en-GB"/>
        </w:rPr>
        <w:t xml:space="preserve">nited </w:t>
      </w:r>
      <w:r w:rsidR="004B538A" w:rsidRPr="003F2C03">
        <w:rPr>
          <w:lang w:val="en-GB"/>
        </w:rPr>
        <w:t>N</w:t>
      </w:r>
      <w:r w:rsidR="00732935">
        <w:rPr>
          <w:lang w:val="en-GB"/>
        </w:rPr>
        <w:t>ations</w:t>
      </w:r>
      <w:r w:rsidR="004B538A" w:rsidRPr="003F2C03">
        <w:rPr>
          <w:lang w:val="en-GB"/>
        </w:rPr>
        <w:t xml:space="preserve"> </w:t>
      </w:r>
      <w:r w:rsidR="005C1209" w:rsidRPr="003F2C03">
        <w:rPr>
          <w:lang w:val="en-GB"/>
        </w:rPr>
        <w:t>has</w:t>
      </w:r>
      <w:r w:rsidR="004B538A" w:rsidRPr="003F2C03">
        <w:rPr>
          <w:lang w:val="en-GB"/>
        </w:rPr>
        <w:t xml:space="preserve"> avoid</w:t>
      </w:r>
      <w:r w:rsidR="005C1209" w:rsidRPr="003F2C03">
        <w:rPr>
          <w:lang w:val="en-GB"/>
        </w:rPr>
        <w:t>ed</w:t>
      </w:r>
      <w:r w:rsidR="004B538A" w:rsidRPr="003F2C03">
        <w:rPr>
          <w:lang w:val="en-GB"/>
        </w:rPr>
        <w:t xml:space="preserve"> overlap</w:t>
      </w:r>
      <w:r w:rsidR="005C1209" w:rsidRPr="003F2C03">
        <w:rPr>
          <w:lang w:val="en-GB"/>
        </w:rPr>
        <w:t>s</w:t>
      </w:r>
      <w:r w:rsidR="004B538A" w:rsidRPr="003F2C03">
        <w:rPr>
          <w:lang w:val="en-GB"/>
        </w:rPr>
        <w:t xml:space="preserve"> and </w:t>
      </w:r>
      <w:r w:rsidR="00732935">
        <w:rPr>
          <w:lang w:val="en-GB"/>
        </w:rPr>
        <w:t xml:space="preserve">made use of </w:t>
      </w:r>
      <w:r w:rsidR="004B538A" w:rsidRPr="003F2C03">
        <w:rPr>
          <w:lang w:val="en-GB"/>
        </w:rPr>
        <w:t>combin</w:t>
      </w:r>
      <w:r w:rsidR="005C1209" w:rsidRPr="003F2C03">
        <w:rPr>
          <w:lang w:val="en-GB"/>
        </w:rPr>
        <w:t>ed</w:t>
      </w:r>
      <w:r w:rsidR="004B538A" w:rsidRPr="003F2C03">
        <w:rPr>
          <w:lang w:val="en-GB"/>
        </w:rPr>
        <w:t xml:space="preserve"> resources, knowledge and advocacy</w:t>
      </w:r>
      <w:r w:rsidR="00732935">
        <w:rPr>
          <w:lang w:val="en-GB"/>
        </w:rPr>
        <w:t>.</w:t>
      </w:r>
      <w:r w:rsidR="004B538A" w:rsidRPr="003F2C03">
        <w:rPr>
          <w:rStyle w:val="FootnoteReference"/>
          <w:lang w:val="en-GB"/>
        </w:rPr>
        <w:footnoteReference w:id="22"/>
      </w:r>
    </w:p>
    <w:p w14:paraId="766867BD" w14:textId="423307CC" w:rsidR="00D836D8" w:rsidRPr="003F2C03" w:rsidRDefault="00327494" w:rsidP="00172FEE">
      <w:pPr>
        <w:pStyle w:val="ListParagraph"/>
        <w:numPr>
          <w:ilvl w:val="0"/>
          <w:numId w:val="45"/>
        </w:numPr>
        <w:tabs>
          <w:tab w:val="left" w:pos="450"/>
          <w:tab w:val="left" w:pos="540"/>
        </w:tabs>
        <w:spacing w:before="120"/>
        <w:ind w:left="0" w:right="900" w:firstLine="0"/>
        <w:jc w:val="both"/>
        <w:rPr>
          <w:lang w:val="en-GB"/>
        </w:rPr>
      </w:pPr>
      <w:r w:rsidRPr="003F2C03">
        <w:rPr>
          <w:lang w:val="en-GB"/>
        </w:rPr>
        <w:t xml:space="preserve">UNDP has </w:t>
      </w:r>
      <w:r w:rsidR="00BD0CF9" w:rsidRPr="003F2C03">
        <w:rPr>
          <w:lang w:val="en-GB"/>
        </w:rPr>
        <w:t xml:space="preserve">been recognized for </w:t>
      </w:r>
      <w:r w:rsidR="00607CB4" w:rsidRPr="003F2C03">
        <w:rPr>
          <w:lang w:val="en-GB"/>
        </w:rPr>
        <w:t xml:space="preserve">its contribution in promoting </w:t>
      </w:r>
      <w:r w:rsidR="00B465EE" w:rsidRPr="003F2C03">
        <w:rPr>
          <w:lang w:val="en-GB"/>
        </w:rPr>
        <w:t>g</w:t>
      </w:r>
      <w:r w:rsidRPr="003F2C03">
        <w:rPr>
          <w:lang w:val="en-GB"/>
        </w:rPr>
        <w:t>ender equality</w:t>
      </w:r>
      <w:r w:rsidR="00732935">
        <w:rPr>
          <w:lang w:val="en-GB"/>
        </w:rPr>
        <w:t>.</w:t>
      </w:r>
      <w:r w:rsidRPr="003F2C03">
        <w:rPr>
          <w:rStyle w:val="FootnoteReference"/>
          <w:lang w:val="en-GB"/>
        </w:rPr>
        <w:footnoteReference w:id="23"/>
      </w:r>
      <w:r w:rsidRPr="003F2C03">
        <w:rPr>
          <w:lang w:val="en-GB"/>
        </w:rPr>
        <w:t xml:space="preserve"> </w:t>
      </w:r>
      <w:r w:rsidR="00732935">
        <w:rPr>
          <w:lang w:val="en-GB"/>
        </w:rPr>
        <w:t>Its</w:t>
      </w:r>
      <w:r w:rsidR="00732935" w:rsidRPr="003F2C03">
        <w:rPr>
          <w:lang w:val="en-GB"/>
        </w:rPr>
        <w:t xml:space="preserve"> </w:t>
      </w:r>
      <w:r w:rsidR="00A84083" w:rsidRPr="003F2C03">
        <w:rPr>
          <w:lang w:val="en-GB"/>
        </w:rPr>
        <w:t>long-standing efforts to address</w:t>
      </w:r>
      <w:r w:rsidRPr="003F2C03">
        <w:rPr>
          <w:lang w:val="en-GB"/>
        </w:rPr>
        <w:t xml:space="preserve"> domestic violence resulted in improved legal and policy frameworks, establish</w:t>
      </w:r>
      <w:r w:rsidR="00A84083" w:rsidRPr="003F2C03">
        <w:rPr>
          <w:lang w:val="en-GB"/>
        </w:rPr>
        <w:t xml:space="preserve">ment of </w:t>
      </w:r>
      <w:r w:rsidRPr="003F2C03">
        <w:rPr>
          <w:lang w:val="en-GB"/>
        </w:rPr>
        <w:t>multidisciplinary coordination mechanisms, and increase</w:t>
      </w:r>
      <w:r w:rsidR="00A84083" w:rsidRPr="003F2C03">
        <w:rPr>
          <w:lang w:val="en-GB"/>
        </w:rPr>
        <w:t>d</w:t>
      </w:r>
      <w:r w:rsidRPr="003F2C03">
        <w:rPr>
          <w:lang w:val="en-GB"/>
        </w:rPr>
        <w:t xml:space="preserve"> reporting of domestic violence</w:t>
      </w:r>
      <w:r w:rsidR="00A84083" w:rsidRPr="003F2C03">
        <w:rPr>
          <w:lang w:val="en-GB"/>
        </w:rPr>
        <w:t xml:space="preserve"> cases</w:t>
      </w:r>
      <w:r w:rsidR="003B509E">
        <w:rPr>
          <w:lang w:val="en-GB"/>
        </w:rPr>
        <w:t>.</w:t>
      </w:r>
      <w:r w:rsidR="005F2DB5" w:rsidRPr="003F2C03">
        <w:rPr>
          <w:rStyle w:val="FootnoteReference"/>
          <w:lang w:val="en-GB"/>
        </w:rPr>
        <w:footnoteReference w:id="24"/>
      </w:r>
      <w:r w:rsidRPr="003F2C03">
        <w:rPr>
          <w:lang w:val="en-GB"/>
        </w:rPr>
        <w:t xml:space="preserve"> Representation of women in local assemblies </w:t>
      </w:r>
      <w:r w:rsidR="00A84083" w:rsidRPr="003F2C03">
        <w:rPr>
          <w:lang w:val="en-GB"/>
        </w:rPr>
        <w:t xml:space="preserve">also </w:t>
      </w:r>
      <w:r w:rsidRPr="003F2C03">
        <w:rPr>
          <w:lang w:val="en-GB"/>
        </w:rPr>
        <w:t xml:space="preserve">increased from 5 </w:t>
      </w:r>
      <w:r w:rsidR="003B509E">
        <w:rPr>
          <w:lang w:val="en-GB"/>
        </w:rPr>
        <w:t xml:space="preserve">per cent </w:t>
      </w:r>
      <w:r w:rsidRPr="003F2C03">
        <w:rPr>
          <w:lang w:val="en-GB"/>
        </w:rPr>
        <w:t>to 26</w:t>
      </w:r>
      <w:r w:rsidR="00384DD2" w:rsidRPr="003F2C03">
        <w:rPr>
          <w:lang w:val="en-GB"/>
        </w:rPr>
        <w:t xml:space="preserve"> </w:t>
      </w:r>
      <w:r w:rsidR="00AA0543">
        <w:rPr>
          <w:lang w:val="en-GB"/>
        </w:rPr>
        <w:t>per cent</w:t>
      </w:r>
      <w:r w:rsidRPr="003F2C03">
        <w:rPr>
          <w:lang w:val="en-GB"/>
        </w:rPr>
        <w:t xml:space="preserve"> in the period from 2010 to 2014</w:t>
      </w:r>
      <w:r w:rsidR="00B465EE" w:rsidRPr="003F2C03">
        <w:rPr>
          <w:lang w:val="en-GB"/>
        </w:rPr>
        <w:t xml:space="preserve"> due to extensive </w:t>
      </w:r>
      <w:r w:rsidR="003B509E">
        <w:rPr>
          <w:lang w:val="en-GB"/>
        </w:rPr>
        <w:t xml:space="preserve">UNDP </w:t>
      </w:r>
      <w:r w:rsidR="00B465EE" w:rsidRPr="003F2C03">
        <w:rPr>
          <w:lang w:val="en-GB"/>
        </w:rPr>
        <w:t>wo</w:t>
      </w:r>
      <w:r w:rsidR="009220FD" w:rsidRPr="003F2C03">
        <w:rPr>
          <w:lang w:val="en-GB"/>
        </w:rPr>
        <w:t>r</w:t>
      </w:r>
      <w:r w:rsidR="00B465EE" w:rsidRPr="003F2C03">
        <w:rPr>
          <w:lang w:val="en-GB"/>
        </w:rPr>
        <w:t xml:space="preserve">k with parliamentary political parties. </w:t>
      </w:r>
    </w:p>
    <w:p w14:paraId="1E60B805" w14:textId="24F4C31C" w:rsidR="00B13C89" w:rsidRPr="003F2C03" w:rsidRDefault="00A35B58" w:rsidP="00172FEE">
      <w:pPr>
        <w:pStyle w:val="ListParagraph"/>
        <w:numPr>
          <w:ilvl w:val="0"/>
          <w:numId w:val="45"/>
        </w:numPr>
        <w:tabs>
          <w:tab w:val="left" w:pos="450"/>
          <w:tab w:val="left" w:pos="540"/>
        </w:tabs>
        <w:spacing w:before="120"/>
        <w:ind w:left="0" w:right="900" w:firstLine="0"/>
        <w:jc w:val="both"/>
        <w:rPr>
          <w:lang w:val="en-GB"/>
        </w:rPr>
      </w:pPr>
      <w:r w:rsidRPr="003F2C03">
        <w:rPr>
          <w:lang w:val="en-GB"/>
        </w:rPr>
        <w:lastRenderedPageBreak/>
        <w:t xml:space="preserve">UNDP </w:t>
      </w:r>
      <w:r w:rsidR="006E685B" w:rsidRPr="003F2C03">
        <w:rPr>
          <w:lang w:val="en-GB"/>
        </w:rPr>
        <w:t xml:space="preserve">provided critical </w:t>
      </w:r>
      <w:r w:rsidRPr="003F2C03">
        <w:rPr>
          <w:lang w:val="en-GB"/>
        </w:rPr>
        <w:t>support</w:t>
      </w:r>
      <w:r w:rsidR="006E685B" w:rsidRPr="003F2C03">
        <w:rPr>
          <w:lang w:val="en-GB"/>
        </w:rPr>
        <w:t xml:space="preserve"> to</w:t>
      </w:r>
      <w:r w:rsidRPr="003F2C03">
        <w:rPr>
          <w:lang w:val="en-GB"/>
        </w:rPr>
        <w:t xml:space="preserve"> </w:t>
      </w:r>
      <w:r w:rsidR="003B509E">
        <w:rPr>
          <w:lang w:val="en-GB"/>
        </w:rPr>
        <w:t xml:space="preserve">the </w:t>
      </w:r>
      <w:r w:rsidRPr="003F2C03">
        <w:rPr>
          <w:lang w:val="en-GB"/>
        </w:rPr>
        <w:t>Government in building transparent institutions</w:t>
      </w:r>
      <w:r w:rsidR="006E685B" w:rsidRPr="003F2C03">
        <w:rPr>
          <w:lang w:val="en-GB"/>
        </w:rPr>
        <w:t xml:space="preserve">, including in the framework of Montenegro’s commitment under </w:t>
      </w:r>
      <w:r w:rsidR="008949EF" w:rsidRPr="003F2C03">
        <w:rPr>
          <w:lang w:val="en-GB"/>
        </w:rPr>
        <w:t>the Open</w:t>
      </w:r>
      <w:r w:rsidRPr="003F2C03">
        <w:rPr>
          <w:lang w:val="en-GB"/>
        </w:rPr>
        <w:t xml:space="preserve"> Government Partnership</w:t>
      </w:r>
      <w:r w:rsidR="006E685B" w:rsidRPr="003F2C03">
        <w:rPr>
          <w:lang w:val="en-GB"/>
        </w:rPr>
        <w:t xml:space="preserve"> Initiative</w:t>
      </w:r>
      <w:r w:rsidRPr="003F2C03">
        <w:rPr>
          <w:lang w:val="en-GB"/>
        </w:rPr>
        <w:t>. In 2015</w:t>
      </w:r>
      <w:r w:rsidR="006E685B" w:rsidRPr="003F2C03">
        <w:rPr>
          <w:lang w:val="en-GB"/>
        </w:rPr>
        <w:t xml:space="preserve">, </w:t>
      </w:r>
      <w:r w:rsidR="00556F55" w:rsidRPr="003F2C03">
        <w:rPr>
          <w:lang w:val="en-GB"/>
        </w:rPr>
        <w:t xml:space="preserve">UNDP’s </w:t>
      </w:r>
      <w:r w:rsidRPr="003F2C03">
        <w:rPr>
          <w:lang w:val="en-GB"/>
        </w:rPr>
        <w:t xml:space="preserve">‘Be Responsible’ project received </w:t>
      </w:r>
      <w:r w:rsidR="003B509E">
        <w:rPr>
          <w:lang w:val="en-GB"/>
        </w:rPr>
        <w:t xml:space="preserve">an </w:t>
      </w:r>
      <w:r w:rsidRPr="003F2C03">
        <w:rPr>
          <w:lang w:val="en-GB"/>
        </w:rPr>
        <w:t>Open Government Award for including citizens in the decision</w:t>
      </w:r>
      <w:r w:rsidR="003B509E">
        <w:rPr>
          <w:lang w:val="en-GB"/>
        </w:rPr>
        <w:t>-</w:t>
      </w:r>
      <w:r w:rsidRPr="003F2C03">
        <w:rPr>
          <w:lang w:val="en-GB"/>
        </w:rPr>
        <w:t>making p</w:t>
      </w:r>
      <w:r w:rsidR="003B509E">
        <w:rPr>
          <w:lang w:val="en-GB"/>
        </w:rPr>
        <w:t>rocess. It</w:t>
      </w:r>
      <w:r w:rsidRPr="003F2C03">
        <w:rPr>
          <w:lang w:val="en-GB"/>
        </w:rPr>
        <w:t xml:space="preserve"> was</w:t>
      </w:r>
      <w:r w:rsidR="003B509E">
        <w:rPr>
          <w:lang w:val="en-GB"/>
        </w:rPr>
        <w:t xml:space="preserve"> also</w:t>
      </w:r>
      <w:r w:rsidRPr="003F2C03">
        <w:rPr>
          <w:lang w:val="en-GB"/>
        </w:rPr>
        <w:t xml:space="preserve"> recognized by </w:t>
      </w:r>
      <w:r w:rsidR="00556F55" w:rsidRPr="003F2C03">
        <w:rPr>
          <w:lang w:val="en-GB"/>
        </w:rPr>
        <w:t xml:space="preserve">the </w:t>
      </w:r>
      <w:r w:rsidR="003B509E">
        <w:rPr>
          <w:lang w:val="en-GB"/>
        </w:rPr>
        <w:t>United States Association of Government Communication Officers</w:t>
      </w:r>
      <w:r w:rsidRPr="003F2C03">
        <w:rPr>
          <w:lang w:val="en-GB"/>
        </w:rPr>
        <w:t xml:space="preserve"> as </w:t>
      </w:r>
      <w:r w:rsidR="007B616F" w:rsidRPr="003F2C03">
        <w:rPr>
          <w:lang w:val="en-GB"/>
        </w:rPr>
        <w:t>a leader in</w:t>
      </w:r>
      <w:r w:rsidRPr="003F2C03">
        <w:rPr>
          <w:lang w:val="en-GB"/>
        </w:rPr>
        <w:t xml:space="preserve"> mobile communications. Cetinje was named a</w:t>
      </w:r>
      <w:r w:rsidR="003B509E">
        <w:rPr>
          <w:lang w:val="en-GB"/>
        </w:rPr>
        <w:t>s one of</w:t>
      </w:r>
      <w:r w:rsidRPr="003F2C03">
        <w:rPr>
          <w:lang w:val="en-GB"/>
        </w:rPr>
        <w:t xml:space="preserve"> the </w:t>
      </w:r>
      <w:r w:rsidR="003B509E">
        <w:rPr>
          <w:lang w:val="en-GB"/>
        </w:rPr>
        <w:t>10</w:t>
      </w:r>
      <w:r w:rsidR="003B509E" w:rsidRPr="003F2C03">
        <w:rPr>
          <w:lang w:val="en-GB"/>
        </w:rPr>
        <w:t xml:space="preserve"> </w:t>
      </w:r>
      <w:r w:rsidR="003B509E">
        <w:rPr>
          <w:lang w:val="en-GB"/>
        </w:rPr>
        <w:t>s</w:t>
      </w:r>
      <w:r w:rsidRPr="003F2C03">
        <w:rPr>
          <w:lang w:val="en-GB"/>
        </w:rPr>
        <w:t xml:space="preserve">ustainable cities worldwide at </w:t>
      </w:r>
      <w:r w:rsidR="00A90ABB">
        <w:rPr>
          <w:lang w:val="en-GB"/>
        </w:rPr>
        <w:t xml:space="preserve">the </w:t>
      </w:r>
      <w:r w:rsidRPr="003F2C03">
        <w:rPr>
          <w:lang w:val="en-GB"/>
        </w:rPr>
        <w:t xml:space="preserve">2014 </w:t>
      </w:r>
      <w:r w:rsidR="003B509E">
        <w:rPr>
          <w:lang w:val="en-GB"/>
        </w:rPr>
        <w:t>United Nations</w:t>
      </w:r>
      <w:r w:rsidR="003B509E" w:rsidRPr="003F2C03">
        <w:rPr>
          <w:lang w:val="en-GB"/>
        </w:rPr>
        <w:t xml:space="preserve"> </w:t>
      </w:r>
      <w:r w:rsidRPr="003F2C03">
        <w:rPr>
          <w:lang w:val="en-GB"/>
        </w:rPr>
        <w:t>General Assembly</w:t>
      </w:r>
      <w:r w:rsidR="003B509E">
        <w:rPr>
          <w:lang w:val="en-GB"/>
        </w:rPr>
        <w:t>,</w:t>
      </w:r>
      <w:r w:rsidRPr="003F2C03">
        <w:rPr>
          <w:lang w:val="en-GB"/>
        </w:rPr>
        <w:t xml:space="preserve"> mainly due to energy efficien</w:t>
      </w:r>
      <w:r w:rsidR="003B509E">
        <w:rPr>
          <w:lang w:val="en-GB"/>
        </w:rPr>
        <w:t>cy</w:t>
      </w:r>
      <w:r w:rsidRPr="003F2C03">
        <w:rPr>
          <w:lang w:val="en-GB"/>
        </w:rPr>
        <w:t xml:space="preserve"> measures implemented with UNDP support</w:t>
      </w:r>
      <w:r w:rsidR="007B616F" w:rsidRPr="003F2C03">
        <w:rPr>
          <w:lang w:val="en-GB"/>
        </w:rPr>
        <w:t>.</w:t>
      </w:r>
      <w:r w:rsidR="00EE4E90" w:rsidRPr="003F2C03">
        <w:rPr>
          <w:lang w:val="en-GB"/>
        </w:rPr>
        <w:t xml:space="preserve"> </w:t>
      </w:r>
    </w:p>
    <w:p w14:paraId="3C464C0C" w14:textId="5CEDC15E" w:rsidR="003B509E" w:rsidRDefault="00646C8E" w:rsidP="00172FEE">
      <w:pPr>
        <w:pStyle w:val="ListParagraph"/>
        <w:numPr>
          <w:ilvl w:val="0"/>
          <w:numId w:val="45"/>
        </w:numPr>
        <w:tabs>
          <w:tab w:val="left" w:pos="450"/>
          <w:tab w:val="left" w:pos="540"/>
        </w:tabs>
        <w:spacing w:before="120"/>
        <w:ind w:left="0" w:right="900" w:firstLine="0"/>
        <w:jc w:val="both"/>
        <w:rPr>
          <w:lang w:val="en-GB"/>
        </w:rPr>
      </w:pPr>
      <w:r w:rsidRPr="003F2C03">
        <w:rPr>
          <w:lang w:val="en-GB"/>
        </w:rPr>
        <w:t>Lastly</w:t>
      </w:r>
      <w:r w:rsidR="003B509E">
        <w:rPr>
          <w:lang w:val="en-GB"/>
        </w:rPr>
        <w:t>,</w:t>
      </w:r>
      <w:r w:rsidRPr="003F2C03">
        <w:rPr>
          <w:lang w:val="en-GB"/>
        </w:rPr>
        <w:t xml:space="preserve"> </w:t>
      </w:r>
      <w:r w:rsidR="00A35B58" w:rsidRPr="003F2C03">
        <w:rPr>
          <w:lang w:val="en-GB"/>
        </w:rPr>
        <w:t xml:space="preserve">UNDP’s advice and support helped to better align the legislative and policy frameworks with EU standards </w:t>
      </w:r>
      <w:r w:rsidR="00021482" w:rsidRPr="003F2C03">
        <w:rPr>
          <w:lang w:val="en-GB"/>
        </w:rPr>
        <w:t xml:space="preserve">and </w:t>
      </w:r>
      <w:r w:rsidR="00A35B58" w:rsidRPr="003F2C03">
        <w:rPr>
          <w:lang w:val="en-GB"/>
        </w:rPr>
        <w:t xml:space="preserve">strengthen </w:t>
      </w:r>
      <w:r w:rsidR="003B509E">
        <w:rPr>
          <w:lang w:val="en-GB"/>
        </w:rPr>
        <w:t xml:space="preserve">the </w:t>
      </w:r>
      <w:r w:rsidR="00A35B58" w:rsidRPr="003F2C03">
        <w:rPr>
          <w:lang w:val="en-GB"/>
        </w:rPr>
        <w:t xml:space="preserve">capacities of national counterparts. </w:t>
      </w:r>
      <w:r w:rsidR="008C252C" w:rsidRPr="003F2C03">
        <w:rPr>
          <w:lang w:val="en-GB"/>
        </w:rPr>
        <w:t xml:space="preserve">To </w:t>
      </w:r>
      <w:r w:rsidR="008A7AB6" w:rsidRPr="003F2C03">
        <w:rPr>
          <w:lang w:val="en-GB"/>
        </w:rPr>
        <w:t xml:space="preserve">strengthen the </w:t>
      </w:r>
      <w:r w:rsidR="008C252C" w:rsidRPr="003F2C03">
        <w:rPr>
          <w:lang w:val="en-GB"/>
        </w:rPr>
        <w:t xml:space="preserve">judicial system, </w:t>
      </w:r>
      <w:r w:rsidR="008A7AB6" w:rsidRPr="003F2C03">
        <w:rPr>
          <w:lang w:val="en-GB"/>
        </w:rPr>
        <w:t>a</w:t>
      </w:r>
      <w:r w:rsidR="00107B3F" w:rsidRPr="003F2C03">
        <w:rPr>
          <w:lang w:val="en-GB"/>
        </w:rPr>
        <w:t xml:space="preserve"> </w:t>
      </w:r>
      <w:r w:rsidR="008C252C" w:rsidRPr="003F2C03">
        <w:rPr>
          <w:lang w:val="en-GB"/>
        </w:rPr>
        <w:t xml:space="preserve">reform strategy and action plan </w:t>
      </w:r>
      <w:r w:rsidR="00BD61E0" w:rsidRPr="003F2C03">
        <w:rPr>
          <w:lang w:val="en-GB"/>
        </w:rPr>
        <w:t xml:space="preserve">(2014-2018) </w:t>
      </w:r>
      <w:r w:rsidR="009220FD" w:rsidRPr="003F2C03">
        <w:rPr>
          <w:lang w:val="en-GB"/>
        </w:rPr>
        <w:t xml:space="preserve">was prepared with </w:t>
      </w:r>
      <w:r w:rsidR="00BD61E0" w:rsidRPr="003F2C03">
        <w:rPr>
          <w:lang w:val="en-GB"/>
        </w:rPr>
        <w:t xml:space="preserve">the </w:t>
      </w:r>
      <w:r w:rsidR="009220FD" w:rsidRPr="003F2C03">
        <w:rPr>
          <w:lang w:val="en-GB"/>
        </w:rPr>
        <w:t>Government</w:t>
      </w:r>
      <w:r w:rsidR="00264B5E" w:rsidRPr="003F2C03">
        <w:t>.</w:t>
      </w:r>
      <w:r w:rsidR="00264B5E" w:rsidRPr="003F2C03">
        <w:rPr>
          <w:lang w:val="en-GB"/>
        </w:rPr>
        <w:t xml:space="preserve"> </w:t>
      </w:r>
      <w:r w:rsidR="00A35B58" w:rsidRPr="003F2C03">
        <w:rPr>
          <w:lang w:val="en-GB"/>
        </w:rPr>
        <w:t xml:space="preserve">In the area of economic reforms, UNDP </w:t>
      </w:r>
      <w:r w:rsidR="008A7AB6" w:rsidRPr="003F2C03">
        <w:rPr>
          <w:lang w:val="en-GB"/>
        </w:rPr>
        <w:t xml:space="preserve">helped </w:t>
      </w:r>
      <w:r w:rsidR="003B509E">
        <w:rPr>
          <w:lang w:val="en-GB"/>
        </w:rPr>
        <w:t xml:space="preserve">the </w:t>
      </w:r>
      <w:r w:rsidR="00A35B58" w:rsidRPr="003F2C03">
        <w:rPr>
          <w:lang w:val="en-GB"/>
        </w:rPr>
        <w:t>Government in creating a new investment framework</w:t>
      </w:r>
      <w:r w:rsidR="007B616F" w:rsidRPr="003F2C03">
        <w:rPr>
          <w:lang w:val="en-GB"/>
        </w:rPr>
        <w:t>.</w:t>
      </w:r>
      <w:r w:rsidR="003F2C03" w:rsidRPr="003F2C03">
        <w:rPr>
          <w:lang w:val="en-GB"/>
        </w:rPr>
        <w:t xml:space="preserve"> </w:t>
      </w:r>
      <w:r w:rsidR="00A35B58" w:rsidRPr="003F2C03">
        <w:rPr>
          <w:lang w:val="en-GB"/>
        </w:rPr>
        <w:t xml:space="preserve">Through the Centre for Sustainable Development UNDP facilitated </w:t>
      </w:r>
      <w:r w:rsidR="007B616F" w:rsidRPr="003F2C03">
        <w:rPr>
          <w:lang w:val="en-GB"/>
        </w:rPr>
        <w:t xml:space="preserve">the </w:t>
      </w:r>
      <w:r w:rsidR="004302EC" w:rsidRPr="003F2C03">
        <w:rPr>
          <w:lang w:val="en-GB"/>
        </w:rPr>
        <w:t xml:space="preserve">creation </w:t>
      </w:r>
      <w:r w:rsidR="00A35B58" w:rsidRPr="003F2C03">
        <w:rPr>
          <w:lang w:val="en-GB"/>
        </w:rPr>
        <w:t xml:space="preserve">of new nature parks, leading to </w:t>
      </w:r>
      <w:r w:rsidR="003B509E">
        <w:rPr>
          <w:lang w:val="en-GB"/>
        </w:rPr>
        <w:t xml:space="preserve">an </w:t>
      </w:r>
      <w:r w:rsidR="003F463C" w:rsidRPr="003F2C03">
        <w:rPr>
          <w:lang w:val="en-GB"/>
        </w:rPr>
        <w:t>increase in protected areas from 9</w:t>
      </w:r>
      <w:r w:rsidR="003B509E">
        <w:rPr>
          <w:lang w:val="en-GB"/>
        </w:rPr>
        <w:t xml:space="preserve"> </w:t>
      </w:r>
      <w:r w:rsidR="00AA0543">
        <w:rPr>
          <w:lang w:val="en-GB"/>
        </w:rPr>
        <w:t>per cent</w:t>
      </w:r>
      <w:r w:rsidR="003F463C" w:rsidRPr="003F2C03">
        <w:rPr>
          <w:lang w:val="en-GB"/>
        </w:rPr>
        <w:t xml:space="preserve"> to 12.8 </w:t>
      </w:r>
      <w:r w:rsidR="00AA0543">
        <w:rPr>
          <w:lang w:val="en-GB"/>
        </w:rPr>
        <w:t>per cent</w:t>
      </w:r>
      <w:r w:rsidR="003F463C" w:rsidRPr="003F2C03">
        <w:rPr>
          <w:lang w:val="en-GB"/>
        </w:rPr>
        <w:t xml:space="preserve"> of </w:t>
      </w:r>
      <w:r w:rsidR="003B509E">
        <w:rPr>
          <w:lang w:val="en-GB"/>
        </w:rPr>
        <w:t xml:space="preserve">the </w:t>
      </w:r>
      <w:r w:rsidR="003F463C" w:rsidRPr="003F2C03">
        <w:rPr>
          <w:lang w:val="en-GB"/>
        </w:rPr>
        <w:t>country’s territory</w:t>
      </w:r>
      <w:r w:rsidR="00264B5E" w:rsidRPr="003F2C03">
        <w:rPr>
          <w:lang w:val="en-GB"/>
        </w:rPr>
        <w:t xml:space="preserve">. </w:t>
      </w:r>
    </w:p>
    <w:p w14:paraId="7F80631E" w14:textId="3AC3302E" w:rsidR="002A6030" w:rsidRPr="003F2C03" w:rsidRDefault="00DA7389" w:rsidP="00172FEE">
      <w:pPr>
        <w:pStyle w:val="ListParagraph"/>
        <w:numPr>
          <w:ilvl w:val="0"/>
          <w:numId w:val="45"/>
        </w:numPr>
        <w:tabs>
          <w:tab w:val="left" w:pos="450"/>
          <w:tab w:val="left" w:pos="540"/>
        </w:tabs>
        <w:spacing w:before="120"/>
        <w:ind w:left="0" w:right="900" w:firstLine="0"/>
        <w:jc w:val="both"/>
        <w:rPr>
          <w:lang w:val="en-GB"/>
        </w:rPr>
      </w:pPr>
      <w:r w:rsidRPr="003F2C03">
        <w:rPr>
          <w:lang w:val="en-GB"/>
        </w:rPr>
        <w:t xml:space="preserve">Jointly with </w:t>
      </w:r>
      <w:r w:rsidR="003B509E">
        <w:rPr>
          <w:lang w:val="en-GB"/>
        </w:rPr>
        <w:t>the United Nations Children’s Fund</w:t>
      </w:r>
      <w:r w:rsidR="007B616F" w:rsidRPr="003F2C03">
        <w:rPr>
          <w:lang w:val="en-GB"/>
        </w:rPr>
        <w:t xml:space="preserve">, </w:t>
      </w:r>
      <w:r w:rsidRPr="003F2C03">
        <w:rPr>
          <w:lang w:val="en-GB"/>
        </w:rPr>
        <w:t xml:space="preserve">UNDP </w:t>
      </w:r>
      <w:r w:rsidR="008A7AB6" w:rsidRPr="003F2C03">
        <w:rPr>
          <w:lang w:val="en-GB"/>
        </w:rPr>
        <w:t>address</w:t>
      </w:r>
      <w:r w:rsidRPr="003F2C03">
        <w:rPr>
          <w:lang w:val="en-GB"/>
        </w:rPr>
        <w:t>ed</w:t>
      </w:r>
      <w:r w:rsidR="008A7AB6" w:rsidRPr="003F2C03">
        <w:rPr>
          <w:lang w:val="en-GB"/>
        </w:rPr>
        <w:t xml:space="preserve"> </w:t>
      </w:r>
      <w:r w:rsidRPr="003F2C03">
        <w:rPr>
          <w:lang w:val="en-GB"/>
        </w:rPr>
        <w:t xml:space="preserve">issues of </w:t>
      </w:r>
      <w:r w:rsidR="008A7AB6" w:rsidRPr="003F2C03">
        <w:rPr>
          <w:lang w:val="en-GB"/>
        </w:rPr>
        <w:t>social exclusion</w:t>
      </w:r>
      <w:r w:rsidR="00A35B58" w:rsidRPr="003F2C03">
        <w:rPr>
          <w:lang w:val="en-GB"/>
        </w:rPr>
        <w:t xml:space="preserve"> </w:t>
      </w:r>
      <w:r w:rsidRPr="003F2C03">
        <w:rPr>
          <w:lang w:val="en-GB"/>
        </w:rPr>
        <w:t xml:space="preserve">and </w:t>
      </w:r>
      <w:r w:rsidR="00A35B58" w:rsidRPr="003F2C03">
        <w:rPr>
          <w:lang w:val="en-GB"/>
        </w:rPr>
        <w:t xml:space="preserve">supported </w:t>
      </w:r>
      <w:r w:rsidR="008A7AB6" w:rsidRPr="003F2C03">
        <w:rPr>
          <w:lang w:val="en-GB"/>
        </w:rPr>
        <w:t>improvements in the</w:t>
      </w:r>
      <w:r w:rsidR="00107B3F" w:rsidRPr="003F2C03">
        <w:rPr>
          <w:lang w:val="en-GB"/>
        </w:rPr>
        <w:t xml:space="preserve"> </w:t>
      </w:r>
      <w:r w:rsidR="00A35B58" w:rsidRPr="003F2C03">
        <w:rPr>
          <w:lang w:val="en-GB"/>
        </w:rPr>
        <w:t>normative framework</w:t>
      </w:r>
      <w:r w:rsidRPr="003F2C03">
        <w:rPr>
          <w:lang w:val="en-GB"/>
        </w:rPr>
        <w:t xml:space="preserve">, development of </w:t>
      </w:r>
      <w:r w:rsidR="00A35B58" w:rsidRPr="003F2C03">
        <w:rPr>
          <w:lang w:val="en-GB"/>
        </w:rPr>
        <w:t>local social inclusion</w:t>
      </w:r>
      <w:r w:rsidR="009220FD" w:rsidRPr="003F2C03">
        <w:rPr>
          <w:lang w:val="en-GB"/>
        </w:rPr>
        <w:t xml:space="preserve"> plans in all 23 municipalities</w:t>
      </w:r>
      <w:r w:rsidR="00A90ABB">
        <w:rPr>
          <w:lang w:val="en-GB"/>
        </w:rPr>
        <w:t>,</w:t>
      </w:r>
      <w:r w:rsidR="009220FD" w:rsidRPr="003F2C03">
        <w:rPr>
          <w:lang w:val="en-GB"/>
        </w:rPr>
        <w:t xml:space="preserve"> and </w:t>
      </w:r>
      <w:r w:rsidR="00A35B58" w:rsidRPr="003F2C03">
        <w:rPr>
          <w:lang w:val="en-GB"/>
        </w:rPr>
        <w:t xml:space="preserve">implementation of the </w:t>
      </w:r>
      <w:r w:rsidR="003B509E">
        <w:rPr>
          <w:lang w:val="en-GB"/>
        </w:rPr>
        <w:t>i</w:t>
      </w:r>
      <w:r w:rsidR="00A35B58" w:rsidRPr="003F2C03">
        <w:rPr>
          <w:lang w:val="en-GB"/>
        </w:rPr>
        <w:t xml:space="preserve">ntegrated </w:t>
      </w:r>
      <w:r w:rsidR="003B509E">
        <w:rPr>
          <w:lang w:val="en-GB"/>
        </w:rPr>
        <w:t>s</w:t>
      </w:r>
      <w:r w:rsidR="00A35B58" w:rsidRPr="003F2C03">
        <w:rPr>
          <w:lang w:val="en-GB"/>
        </w:rPr>
        <w:t xml:space="preserve">ocial </w:t>
      </w:r>
      <w:r w:rsidR="003B509E">
        <w:rPr>
          <w:lang w:val="en-GB"/>
        </w:rPr>
        <w:t>w</w:t>
      </w:r>
      <w:r w:rsidR="00A35B58" w:rsidRPr="003F2C03">
        <w:rPr>
          <w:lang w:val="en-GB"/>
        </w:rPr>
        <w:t xml:space="preserve">elfare </w:t>
      </w:r>
      <w:r w:rsidR="003B509E">
        <w:rPr>
          <w:lang w:val="en-GB"/>
        </w:rPr>
        <w:t>i</w:t>
      </w:r>
      <w:r w:rsidR="00A35B58" w:rsidRPr="003F2C03">
        <w:rPr>
          <w:lang w:val="en-GB"/>
        </w:rPr>
        <w:t xml:space="preserve">nformation system, which covers social assistance to </w:t>
      </w:r>
      <w:r w:rsidR="009220FD" w:rsidRPr="003F2C03">
        <w:rPr>
          <w:lang w:val="en-GB"/>
        </w:rPr>
        <w:t>35,000 beneficiaries nationwide. Jointly</w:t>
      </w:r>
      <w:r w:rsidR="00A35B58" w:rsidRPr="003F2C03">
        <w:rPr>
          <w:lang w:val="en-GB"/>
        </w:rPr>
        <w:t xml:space="preserve"> with</w:t>
      </w:r>
      <w:r w:rsidRPr="003F2C03">
        <w:rPr>
          <w:lang w:val="en-GB"/>
        </w:rPr>
        <w:t xml:space="preserve"> </w:t>
      </w:r>
      <w:r w:rsidR="003B509E">
        <w:rPr>
          <w:lang w:val="en-GB"/>
        </w:rPr>
        <w:t>the United Nations High Commissioner for Refugees</w:t>
      </w:r>
      <w:r w:rsidR="00A35B58" w:rsidRPr="003F2C03">
        <w:rPr>
          <w:lang w:val="en-GB"/>
        </w:rPr>
        <w:t xml:space="preserve">, </w:t>
      </w:r>
      <w:r w:rsidR="009220FD" w:rsidRPr="003F2C03">
        <w:rPr>
          <w:lang w:val="en-GB"/>
        </w:rPr>
        <w:t xml:space="preserve">UNDP </w:t>
      </w:r>
      <w:r w:rsidR="00A35B58" w:rsidRPr="003F2C03">
        <w:rPr>
          <w:lang w:val="en-GB"/>
        </w:rPr>
        <w:t>contributed to resolving the legal status</w:t>
      </w:r>
      <w:r w:rsidR="003B509E">
        <w:rPr>
          <w:lang w:val="en-GB"/>
        </w:rPr>
        <w:t xml:space="preserve"> of Roma and displaced people</w:t>
      </w:r>
      <w:r w:rsidR="00A35B58" w:rsidRPr="003F2C03">
        <w:rPr>
          <w:lang w:val="en-GB"/>
        </w:rPr>
        <w:t xml:space="preserve">, a root cause for </w:t>
      </w:r>
      <w:r w:rsidR="003B509E">
        <w:rPr>
          <w:lang w:val="en-GB"/>
        </w:rPr>
        <w:t xml:space="preserve">the </w:t>
      </w:r>
      <w:r w:rsidR="00A35B58" w:rsidRPr="003F2C03">
        <w:rPr>
          <w:lang w:val="en-GB"/>
        </w:rPr>
        <w:t>exclusion of 10</w:t>
      </w:r>
      <w:r w:rsidR="00EE761F" w:rsidRPr="003F2C03">
        <w:rPr>
          <w:lang w:val="en-GB"/>
        </w:rPr>
        <w:t xml:space="preserve"> </w:t>
      </w:r>
      <w:r w:rsidR="00AA0543">
        <w:rPr>
          <w:lang w:val="en-GB"/>
        </w:rPr>
        <w:t>per cent</w:t>
      </w:r>
      <w:r w:rsidR="00A35B58" w:rsidRPr="003F2C03">
        <w:rPr>
          <w:lang w:val="en-GB"/>
        </w:rPr>
        <w:t xml:space="preserve"> of </w:t>
      </w:r>
      <w:r w:rsidR="003B509E">
        <w:rPr>
          <w:lang w:val="en-GB"/>
        </w:rPr>
        <w:t>this</w:t>
      </w:r>
      <w:r w:rsidR="00A35B58" w:rsidRPr="003F2C03">
        <w:rPr>
          <w:lang w:val="en-GB"/>
        </w:rPr>
        <w:t xml:space="preserve"> population. </w:t>
      </w:r>
      <w:r w:rsidR="00E74DCF" w:rsidRPr="003F2C03">
        <w:rPr>
          <w:lang w:val="en-GB"/>
        </w:rPr>
        <w:t>Throughout</w:t>
      </w:r>
      <w:r w:rsidR="003B509E">
        <w:rPr>
          <w:lang w:val="en-GB"/>
        </w:rPr>
        <w:t xml:space="preserve"> the country programme period</w:t>
      </w:r>
      <w:r w:rsidR="00E74DCF" w:rsidRPr="003F2C03">
        <w:rPr>
          <w:lang w:val="en-GB"/>
        </w:rPr>
        <w:t xml:space="preserve">, UNDP has benefited from East-East cooperation, drawing particularly on </w:t>
      </w:r>
      <w:r w:rsidR="00E74DCF" w:rsidRPr="003F2C03">
        <w:t xml:space="preserve">technical expertise from countries </w:t>
      </w:r>
      <w:r w:rsidR="003B509E">
        <w:t>that</w:t>
      </w:r>
      <w:r w:rsidR="003B509E" w:rsidRPr="003F2C03">
        <w:t xml:space="preserve"> </w:t>
      </w:r>
      <w:r w:rsidR="00E74DCF" w:rsidRPr="003F2C03">
        <w:t xml:space="preserve">progressed successfully to </w:t>
      </w:r>
      <w:r w:rsidR="007B616F" w:rsidRPr="003F2C03">
        <w:t xml:space="preserve">EU </w:t>
      </w:r>
      <w:r w:rsidR="003B509E">
        <w:t>a</w:t>
      </w:r>
      <w:r w:rsidR="00E74DCF" w:rsidRPr="003F2C03">
        <w:t>ccession and have a common language and legacy.</w:t>
      </w:r>
      <w:r w:rsidR="004302EC" w:rsidRPr="003F2C03">
        <w:t xml:space="preserve"> </w:t>
      </w:r>
      <w:r w:rsidR="003B509E">
        <w:t>C</w:t>
      </w:r>
      <w:r w:rsidR="004302EC" w:rsidRPr="003F2C03">
        <w:t xml:space="preserve">onsultations with </w:t>
      </w:r>
      <w:r w:rsidR="003B509E">
        <w:t xml:space="preserve">the </w:t>
      </w:r>
      <w:r w:rsidR="004302EC" w:rsidRPr="003F2C03">
        <w:t>Government and other partners confirm the continued relevance of UNDP</w:t>
      </w:r>
      <w:r w:rsidR="003B509E">
        <w:t>’s</w:t>
      </w:r>
      <w:r w:rsidR="004302EC" w:rsidRPr="003F2C03">
        <w:t xml:space="preserve"> contribution </w:t>
      </w:r>
      <w:r w:rsidR="007B616F" w:rsidRPr="003F2C03">
        <w:t xml:space="preserve">to </w:t>
      </w:r>
      <w:r w:rsidR="004302EC" w:rsidRPr="003F2C03">
        <w:t xml:space="preserve">EU </w:t>
      </w:r>
      <w:r w:rsidR="003B509E">
        <w:t>a</w:t>
      </w:r>
      <w:r w:rsidR="004302EC" w:rsidRPr="003F2C03">
        <w:t>ccession</w:t>
      </w:r>
      <w:r w:rsidR="00EE761F" w:rsidRPr="003F2C03">
        <w:t xml:space="preserve"> and the 2030 Agenda</w:t>
      </w:r>
      <w:r w:rsidR="004302EC" w:rsidRPr="003F2C03">
        <w:t xml:space="preserve">. </w:t>
      </w:r>
    </w:p>
    <w:p w14:paraId="7B6764CA" w14:textId="77777777" w:rsidR="002A6030" w:rsidRPr="003F2C03" w:rsidRDefault="002A6030" w:rsidP="00732935">
      <w:pPr>
        <w:pStyle w:val="Heading2"/>
        <w:tabs>
          <w:tab w:val="left" w:pos="180"/>
          <w:tab w:val="left" w:pos="540"/>
          <w:tab w:val="left" w:pos="720"/>
        </w:tabs>
        <w:ind w:right="900"/>
        <w:jc w:val="both"/>
        <w:rPr>
          <w:rFonts w:ascii="Times New Roman" w:hAnsi="Times New Roman"/>
          <w:sz w:val="20"/>
          <w:lang w:val="en-GB"/>
        </w:rPr>
      </w:pPr>
    </w:p>
    <w:p w14:paraId="489292FE" w14:textId="77E0E558" w:rsidR="00B13C89" w:rsidRPr="00F66191" w:rsidRDefault="00BD3DAB" w:rsidP="00732935">
      <w:pPr>
        <w:pStyle w:val="Heading2"/>
        <w:numPr>
          <w:ilvl w:val="0"/>
          <w:numId w:val="24"/>
        </w:numPr>
        <w:tabs>
          <w:tab w:val="left" w:pos="0"/>
          <w:tab w:val="left" w:pos="540"/>
          <w:tab w:val="left" w:pos="720"/>
        </w:tabs>
        <w:ind w:right="900" w:hanging="1800"/>
        <w:jc w:val="both"/>
        <w:rPr>
          <w:rFonts w:ascii="Times New Roman" w:hAnsi="Times New Roman"/>
          <w:bCs/>
          <w:color w:val="000000"/>
          <w:sz w:val="24"/>
          <w:szCs w:val="24"/>
        </w:rPr>
      </w:pPr>
      <w:r w:rsidRPr="00F66191">
        <w:rPr>
          <w:rFonts w:ascii="Times New Roman" w:hAnsi="Times New Roman"/>
          <w:bCs/>
          <w:color w:val="000000"/>
          <w:sz w:val="24"/>
          <w:szCs w:val="24"/>
        </w:rPr>
        <w:t xml:space="preserve">Programme </w:t>
      </w:r>
      <w:r w:rsidR="00F66191">
        <w:rPr>
          <w:rFonts w:ascii="Times New Roman" w:hAnsi="Times New Roman"/>
          <w:bCs/>
          <w:color w:val="000000"/>
          <w:sz w:val="24"/>
          <w:szCs w:val="24"/>
        </w:rPr>
        <w:t>p</w:t>
      </w:r>
      <w:r w:rsidRPr="00F66191">
        <w:rPr>
          <w:rFonts w:ascii="Times New Roman" w:hAnsi="Times New Roman"/>
          <w:bCs/>
          <w:color w:val="000000"/>
          <w:sz w:val="24"/>
          <w:szCs w:val="24"/>
        </w:rPr>
        <w:t xml:space="preserve">riorities and </w:t>
      </w:r>
      <w:r w:rsidR="00F66191">
        <w:rPr>
          <w:rFonts w:ascii="Times New Roman" w:hAnsi="Times New Roman"/>
          <w:bCs/>
          <w:color w:val="000000"/>
          <w:sz w:val="24"/>
          <w:szCs w:val="24"/>
        </w:rPr>
        <w:t>p</w:t>
      </w:r>
      <w:r w:rsidRPr="00F66191">
        <w:rPr>
          <w:rFonts w:ascii="Times New Roman" w:hAnsi="Times New Roman"/>
          <w:bCs/>
          <w:color w:val="000000"/>
          <w:sz w:val="24"/>
          <w:szCs w:val="24"/>
        </w:rPr>
        <w:t xml:space="preserve">artnerships </w:t>
      </w:r>
    </w:p>
    <w:p w14:paraId="084CAD6E" w14:textId="77777777" w:rsidR="00CF2064" w:rsidRPr="003F2C03" w:rsidRDefault="00CF2064" w:rsidP="00732935">
      <w:pPr>
        <w:tabs>
          <w:tab w:val="left" w:pos="180"/>
          <w:tab w:val="left" w:pos="540"/>
          <w:tab w:val="left" w:pos="720"/>
        </w:tabs>
        <w:ind w:right="900"/>
        <w:rPr>
          <w:lang w:val="en-GB"/>
        </w:rPr>
      </w:pPr>
    </w:p>
    <w:p w14:paraId="15546C04" w14:textId="5D4DE9B1" w:rsidR="00C819D8" w:rsidRDefault="008023D1" w:rsidP="00172FEE">
      <w:pPr>
        <w:pStyle w:val="ListParagraph"/>
        <w:numPr>
          <w:ilvl w:val="0"/>
          <w:numId w:val="45"/>
        </w:numPr>
        <w:tabs>
          <w:tab w:val="left" w:pos="180"/>
          <w:tab w:val="left" w:pos="360"/>
          <w:tab w:val="left" w:pos="540"/>
        </w:tabs>
        <w:spacing w:after="120"/>
        <w:ind w:left="0" w:right="900" w:firstLine="0"/>
        <w:jc w:val="both"/>
        <w:rPr>
          <w:lang w:val="en-GB"/>
        </w:rPr>
      </w:pPr>
      <w:r w:rsidRPr="00C819D8">
        <w:rPr>
          <w:color w:val="000000" w:themeColor="text1"/>
          <w:lang w:val="en-GB"/>
        </w:rPr>
        <w:t xml:space="preserve">The results achieved and lessons learned in the previous cycle </w:t>
      </w:r>
      <w:r w:rsidR="008A7AB6" w:rsidRPr="00C819D8">
        <w:rPr>
          <w:color w:val="000000" w:themeColor="text1"/>
          <w:lang w:val="en-GB"/>
        </w:rPr>
        <w:t>provide</w:t>
      </w:r>
      <w:r w:rsidRPr="00C819D8">
        <w:rPr>
          <w:color w:val="000000" w:themeColor="text1"/>
          <w:lang w:val="en-GB"/>
        </w:rPr>
        <w:t xml:space="preserve"> a solid foundation for UNDP’s </w:t>
      </w:r>
      <w:r w:rsidR="00851B39" w:rsidRPr="00C819D8">
        <w:rPr>
          <w:color w:val="000000" w:themeColor="text1"/>
          <w:lang w:val="en-GB"/>
        </w:rPr>
        <w:t xml:space="preserve">work in </w:t>
      </w:r>
      <w:r w:rsidR="003B509E">
        <w:rPr>
          <w:color w:val="000000" w:themeColor="text1"/>
          <w:lang w:val="en-GB"/>
        </w:rPr>
        <w:t xml:space="preserve">the </w:t>
      </w:r>
      <w:r w:rsidRPr="00C819D8">
        <w:rPr>
          <w:color w:val="000000" w:themeColor="text1"/>
          <w:lang w:val="en-GB"/>
        </w:rPr>
        <w:t xml:space="preserve">2017-2021 period. </w:t>
      </w:r>
      <w:r w:rsidR="00E948B5" w:rsidRPr="00C819D8">
        <w:rPr>
          <w:color w:val="000000" w:themeColor="text1"/>
          <w:lang w:val="en-GB"/>
        </w:rPr>
        <w:t>The objectives</w:t>
      </w:r>
      <w:r w:rsidR="00851B39" w:rsidRPr="00C819D8">
        <w:rPr>
          <w:color w:val="000000" w:themeColor="text1"/>
          <w:lang w:val="en-GB"/>
        </w:rPr>
        <w:t xml:space="preserve"> and proposed outcomes</w:t>
      </w:r>
      <w:r w:rsidR="00E948B5" w:rsidRPr="00C819D8">
        <w:rPr>
          <w:color w:val="000000" w:themeColor="text1"/>
          <w:lang w:val="en-GB"/>
        </w:rPr>
        <w:t xml:space="preserve"> of th</w:t>
      </w:r>
      <w:r w:rsidR="00FF0609" w:rsidRPr="00C819D8">
        <w:rPr>
          <w:color w:val="000000" w:themeColor="text1"/>
          <w:lang w:val="en-GB"/>
        </w:rPr>
        <w:t>i</w:t>
      </w:r>
      <w:r w:rsidR="00E948B5" w:rsidRPr="00C819D8">
        <w:rPr>
          <w:color w:val="000000" w:themeColor="text1"/>
          <w:lang w:val="en-GB"/>
        </w:rPr>
        <w:t xml:space="preserve">s </w:t>
      </w:r>
      <w:r w:rsidR="003B509E">
        <w:rPr>
          <w:color w:val="000000" w:themeColor="text1"/>
          <w:lang w:val="en-GB"/>
        </w:rPr>
        <w:t>country programme</w:t>
      </w:r>
      <w:r w:rsidR="003B509E" w:rsidRPr="00C819D8">
        <w:rPr>
          <w:color w:val="000000" w:themeColor="text1"/>
          <w:lang w:val="en-GB"/>
        </w:rPr>
        <w:t xml:space="preserve"> </w:t>
      </w:r>
      <w:r w:rsidR="00E948B5" w:rsidRPr="00C819D8">
        <w:rPr>
          <w:color w:val="000000" w:themeColor="text1"/>
          <w:lang w:val="en-GB"/>
        </w:rPr>
        <w:t xml:space="preserve">are </w:t>
      </w:r>
      <w:r w:rsidR="00E26669" w:rsidRPr="00C819D8">
        <w:rPr>
          <w:color w:val="000000" w:themeColor="text1"/>
          <w:lang w:val="en-GB"/>
        </w:rPr>
        <w:t>informed by the</w:t>
      </w:r>
      <w:r w:rsidR="0066708C" w:rsidRPr="00C819D8">
        <w:rPr>
          <w:color w:val="000000" w:themeColor="text1"/>
          <w:lang w:val="en-GB"/>
        </w:rPr>
        <w:t xml:space="preserve"> </w:t>
      </w:r>
      <w:r w:rsidR="00C819D8" w:rsidRPr="00C819D8">
        <w:rPr>
          <w:color w:val="000000" w:themeColor="text1"/>
          <w:lang w:val="en-GB"/>
        </w:rPr>
        <w:t>2030</w:t>
      </w:r>
      <w:r w:rsidR="00E948B5" w:rsidRPr="00C819D8">
        <w:rPr>
          <w:color w:val="000000" w:themeColor="text1"/>
          <w:lang w:val="en-GB"/>
        </w:rPr>
        <w:t xml:space="preserve"> Agenda</w:t>
      </w:r>
      <w:r w:rsidR="007B616F" w:rsidRPr="00C819D8">
        <w:rPr>
          <w:color w:val="000000" w:themeColor="text1"/>
          <w:lang w:val="en-GB"/>
        </w:rPr>
        <w:t xml:space="preserve"> and</w:t>
      </w:r>
      <w:r w:rsidR="00BC59EE" w:rsidRPr="00C819D8">
        <w:rPr>
          <w:color w:val="000000" w:themeColor="text1"/>
          <w:lang w:val="en-GB"/>
        </w:rPr>
        <w:t xml:space="preserve"> </w:t>
      </w:r>
      <w:r w:rsidR="007B616F" w:rsidRPr="00C819D8">
        <w:rPr>
          <w:color w:val="000000" w:themeColor="text1"/>
          <w:lang w:val="en-GB"/>
        </w:rPr>
        <w:t>aligned with relevant</w:t>
      </w:r>
      <w:r w:rsidR="00BC59EE" w:rsidRPr="00C819D8">
        <w:rPr>
          <w:color w:val="000000" w:themeColor="text1"/>
          <w:lang w:val="en-GB"/>
        </w:rPr>
        <w:t xml:space="preserve"> </w:t>
      </w:r>
      <w:r w:rsidR="003B509E">
        <w:rPr>
          <w:color w:val="000000" w:themeColor="text1"/>
          <w:lang w:val="en-GB"/>
        </w:rPr>
        <w:t>Sustainable Development G</w:t>
      </w:r>
      <w:r w:rsidR="00BC59EE" w:rsidRPr="00C819D8">
        <w:rPr>
          <w:color w:val="000000" w:themeColor="text1"/>
          <w:lang w:val="en-GB"/>
        </w:rPr>
        <w:t>oals</w:t>
      </w:r>
      <w:r w:rsidR="007D511D">
        <w:rPr>
          <w:color w:val="000000" w:themeColor="text1"/>
          <w:lang w:val="en-GB"/>
        </w:rPr>
        <w:t xml:space="preserve"> (SDGs)</w:t>
      </w:r>
      <w:r w:rsidR="007B616F" w:rsidRPr="00C819D8">
        <w:rPr>
          <w:color w:val="000000" w:themeColor="text1"/>
          <w:lang w:val="en-GB"/>
        </w:rPr>
        <w:t>. P</w:t>
      </w:r>
      <w:r w:rsidR="00E26669" w:rsidRPr="00C819D8">
        <w:rPr>
          <w:color w:val="000000" w:themeColor="text1"/>
          <w:lang w:val="en-GB"/>
        </w:rPr>
        <w:t>riorities reflect the results of national post-2015 consultations</w:t>
      </w:r>
      <w:r w:rsidR="003B509E">
        <w:rPr>
          <w:color w:val="000000" w:themeColor="text1"/>
          <w:lang w:val="en-GB"/>
        </w:rPr>
        <w:t>.</w:t>
      </w:r>
      <w:r w:rsidR="00E26669" w:rsidRPr="003F2C03">
        <w:rPr>
          <w:rStyle w:val="FootnoteReference"/>
          <w:color w:val="000000" w:themeColor="text1"/>
          <w:lang w:val="en-GB"/>
        </w:rPr>
        <w:footnoteReference w:id="25"/>
      </w:r>
      <w:r w:rsidR="007B616F" w:rsidRPr="00C819D8">
        <w:rPr>
          <w:color w:val="000000" w:themeColor="text1"/>
          <w:lang w:val="en-GB"/>
        </w:rPr>
        <w:t xml:space="preserve"> </w:t>
      </w:r>
      <w:r w:rsidR="003B509E">
        <w:rPr>
          <w:color w:val="000000" w:themeColor="text1"/>
          <w:lang w:val="en-GB"/>
        </w:rPr>
        <w:t>T</w:t>
      </w:r>
      <w:r w:rsidR="007B616F" w:rsidRPr="00C819D8">
        <w:rPr>
          <w:color w:val="000000" w:themeColor="text1"/>
          <w:lang w:val="en-GB"/>
        </w:rPr>
        <w:t>hey</w:t>
      </w:r>
      <w:r w:rsidR="003F2C03" w:rsidRPr="00C819D8">
        <w:rPr>
          <w:color w:val="000000" w:themeColor="text1"/>
          <w:lang w:val="en-GB"/>
        </w:rPr>
        <w:t xml:space="preserve"> </w:t>
      </w:r>
      <w:r w:rsidR="00E26669" w:rsidRPr="00C819D8">
        <w:rPr>
          <w:color w:val="000000" w:themeColor="text1"/>
          <w:lang w:val="en-GB"/>
        </w:rPr>
        <w:t xml:space="preserve">are aligned </w:t>
      </w:r>
      <w:r w:rsidR="00894167" w:rsidRPr="00C819D8">
        <w:rPr>
          <w:color w:val="000000" w:themeColor="text1"/>
          <w:lang w:val="en-GB"/>
        </w:rPr>
        <w:t>with the</w:t>
      </w:r>
      <w:r w:rsidR="00544987" w:rsidRPr="00C819D8">
        <w:rPr>
          <w:color w:val="000000" w:themeColor="text1"/>
          <w:lang w:val="en-GB"/>
        </w:rPr>
        <w:t xml:space="preserve"> UNDP Strategic Plan goals 1, 2, 3 and 4</w:t>
      </w:r>
      <w:r w:rsidR="007B616F" w:rsidRPr="00C819D8">
        <w:rPr>
          <w:color w:val="000000" w:themeColor="text1"/>
          <w:lang w:val="en-GB"/>
        </w:rPr>
        <w:t xml:space="preserve"> </w:t>
      </w:r>
      <w:r w:rsidR="00C819D8" w:rsidRPr="00C819D8">
        <w:rPr>
          <w:color w:val="000000" w:themeColor="text1"/>
          <w:lang w:val="en-GB"/>
        </w:rPr>
        <w:t>and the</w:t>
      </w:r>
      <w:r w:rsidR="00D873BA" w:rsidRPr="00C819D8">
        <w:rPr>
          <w:color w:val="000000" w:themeColor="text1"/>
          <w:lang w:val="en-GB"/>
        </w:rPr>
        <w:t xml:space="preserve"> </w:t>
      </w:r>
      <w:r w:rsidR="003B509E">
        <w:rPr>
          <w:color w:val="000000" w:themeColor="text1"/>
          <w:lang w:val="en-GB"/>
        </w:rPr>
        <w:t>United Nations Development Assistance Framework (</w:t>
      </w:r>
      <w:r w:rsidR="00D873BA" w:rsidRPr="00C819D8">
        <w:rPr>
          <w:color w:val="000000" w:themeColor="text1"/>
          <w:lang w:val="en-GB"/>
        </w:rPr>
        <w:t>UNDAF</w:t>
      </w:r>
      <w:r w:rsidR="003B509E">
        <w:rPr>
          <w:color w:val="000000" w:themeColor="text1"/>
          <w:lang w:val="en-GB"/>
        </w:rPr>
        <w:t>)</w:t>
      </w:r>
      <w:r w:rsidR="007D511D">
        <w:rPr>
          <w:color w:val="000000" w:themeColor="text1"/>
          <w:lang w:val="en-GB"/>
        </w:rPr>
        <w:t>. T</w:t>
      </w:r>
      <w:r w:rsidR="003B509E">
        <w:rPr>
          <w:color w:val="000000" w:themeColor="text1"/>
          <w:lang w:val="en-GB"/>
        </w:rPr>
        <w:t xml:space="preserve">he priorities </w:t>
      </w:r>
      <w:r w:rsidR="00A9593B" w:rsidRPr="00C819D8">
        <w:rPr>
          <w:color w:val="000000" w:themeColor="text1"/>
          <w:lang w:val="en-GB"/>
        </w:rPr>
        <w:t xml:space="preserve">have themselves been </w:t>
      </w:r>
      <w:r w:rsidR="00894167" w:rsidRPr="00C819D8">
        <w:rPr>
          <w:color w:val="000000" w:themeColor="text1"/>
          <w:lang w:val="en-GB"/>
        </w:rPr>
        <w:t>reviewed through</w:t>
      </w:r>
      <w:r w:rsidR="00D873BA" w:rsidRPr="00C819D8">
        <w:rPr>
          <w:color w:val="000000" w:themeColor="text1"/>
          <w:lang w:val="en-GB"/>
        </w:rPr>
        <w:t xml:space="preserve"> tw</w:t>
      </w:r>
      <w:r w:rsidR="00A9593B" w:rsidRPr="00C819D8">
        <w:rPr>
          <w:color w:val="000000" w:themeColor="text1"/>
          <w:lang w:val="en-GB"/>
        </w:rPr>
        <w:t>o</w:t>
      </w:r>
      <w:r w:rsidR="00D873BA" w:rsidRPr="00C819D8">
        <w:rPr>
          <w:color w:val="000000" w:themeColor="text1"/>
          <w:lang w:val="en-GB"/>
        </w:rPr>
        <w:t xml:space="preserve"> consultation</w:t>
      </w:r>
      <w:r w:rsidR="00A9593B" w:rsidRPr="00C819D8">
        <w:rPr>
          <w:color w:val="000000" w:themeColor="text1"/>
          <w:lang w:val="en-GB"/>
        </w:rPr>
        <w:t>s</w:t>
      </w:r>
      <w:r w:rsidR="00D873BA" w:rsidRPr="00C819D8">
        <w:rPr>
          <w:color w:val="000000" w:themeColor="text1"/>
          <w:lang w:val="en-GB"/>
        </w:rPr>
        <w:t xml:space="preserve">. </w:t>
      </w:r>
      <w:r w:rsidR="00FF0609" w:rsidRPr="00C819D8">
        <w:rPr>
          <w:lang w:val="en-GB"/>
        </w:rPr>
        <w:t>T</w:t>
      </w:r>
      <w:r w:rsidR="005B6916" w:rsidRPr="00C819D8">
        <w:rPr>
          <w:lang w:val="en-GB"/>
        </w:rPr>
        <w:t xml:space="preserve">he </w:t>
      </w:r>
      <w:r w:rsidR="003B509E">
        <w:rPr>
          <w:lang w:val="en-GB"/>
        </w:rPr>
        <w:t>proposed country p</w:t>
      </w:r>
      <w:r w:rsidR="005B6916" w:rsidRPr="00C819D8">
        <w:rPr>
          <w:lang w:val="en-GB"/>
        </w:rPr>
        <w:t>rogramme</w:t>
      </w:r>
      <w:r w:rsidR="00FF0609" w:rsidRPr="00C819D8">
        <w:rPr>
          <w:lang w:val="en-GB"/>
        </w:rPr>
        <w:t xml:space="preserve"> complements the priorities of </w:t>
      </w:r>
      <w:r w:rsidR="00084E4B" w:rsidRPr="00C819D8">
        <w:rPr>
          <w:lang w:val="en-GB"/>
        </w:rPr>
        <w:t>UNDP</w:t>
      </w:r>
      <w:r w:rsidR="003B509E">
        <w:rPr>
          <w:lang w:val="en-GB"/>
        </w:rPr>
        <w:t xml:space="preserve">’s regional programme for Europe and the Commonwealth of Independent States </w:t>
      </w:r>
      <w:r w:rsidR="008949EF" w:rsidRPr="00C819D8">
        <w:rPr>
          <w:lang w:val="en-GB"/>
        </w:rPr>
        <w:t>(2014-2017</w:t>
      </w:r>
      <w:r w:rsidR="00084E4B" w:rsidRPr="00C819D8">
        <w:rPr>
          <w:lang w:val="en-GB"/>
        </w:rPr>
        <w:t>)</w:t>
      </w:r>
      <w:r w:rsidR="00724B96" w:rsidRPr="00C819D8">
        <w:rPr>
          <w:lang w:val="en-GB"/>
        </w:rPr>
        <w:t>.</w:t>
      </w:r>
      <w:r w:rsidR="00C819D8" w:rsidRPr="00C819D8">
        <w:rPr>
          <w:lang w:val="en-GB"/>
        </w:rPr>
        <w:t xml:space="preserve"> </w:t>
      </w:r>
    </w:p>
    <w:p w14:paraId="68093AA7" w14:textId="6650C061" w:rsidR="003703BE" w:rsidRPr="00C819D8" w:rsidRDefault="00F277BF" w:rsidP="00172FEE">
      <w:pPr>
        <w:pStyle w:val="ListParagraph"/>
        <w:numPr>
          <w:ilvl w:val="0"/>
          <w:numId w:val="45"/>
        </w:numPr>
        <w:tabs>
          <w:tab w:val="left" w:pos="180"/>
          <w:tab w:val="left" w:pos="360"/>
          <w:tab w:val="left" w:pos="540"/>
        </w:tabs>
        <w:spacing w:after="120"/>
        <w:ind w:left="0" w:right="900" w:firstLine="0"/>
        <w:jc w:val="both"/>
        <w:rPr>
          <w:lang w:val="en-GB"/>
        </w:rPr>
      </w:pPr>
      <w:r w:rsidRPr="00C819D8">
        <w:rPr>
          <w:color w:val="000000" w:themeColor="text1"/>
          <w:lang w:val="en-GB"/>
        </w:rPr>
        <w:t xml:space="preserve">Lessons learned from implementation of the </w:t>
      </w:r>
      <w:r w:rsidR="003703BE" w:rsidRPr="00C819D8">
        <w:rPr>
          <w:color w:val="000000" w:themeColor="text1"/>
          <w:lang w:val="en-GB"/>
        </w:rPr>
        <w:t xml:space="preserve">previous </w:t>
      </w:r>
      <w:r w:rsidR="003B509E">
        <w:rPr>
          <w:color w:val="000000" w:themeColor="text1"/>
          <w:lang w:val="en-GB"/>
        </w:rPr>
        <w:t>country programme</w:t>
      </w:r>
      <w:r w:rsidRPr="00C819D8">
        <w:rPr>
          <w:color w:val="000000" w:themeColor="text1"/>
          <w:lang w:val="en-GB"/>
        </w:rPr>
        <w:t xml:space="preserve"> highlight the importance of</w:t>
      </w:r>
      <w:r w:rsidR="003703BE" w:rsidRPr="00C819D8">
        <w:rPr>
          <w:color w:val="000000" w:themeColor="text1"/>
          <w:lang w:val="en-GB"/>
        </w:rPr>
        <w:t xml:space="preserve">: </w:t>
      </w:r>
      <w:r w:rsidR="003B509E">
        <w:rPr>
          <w:color w:val="000000" w:themeColor="text1"/>
          <w:lang w:val="en-GB"/>
        </w:rPr>
        <w:t>(a</w:t>
      </w:r>
      <w:r w:rsidR="003703BE" w:rsidRPr="00C819D8">
        <w:rPr>
          <w:color w:val="000000" w:themeColor="text1"/>
          <w:lang w:val="en-GB"/>
        </w:rPr>
        <w:t xml:space="preserve">) </w:t>
      </w:r>
      <w:r w:rsidRPr="00C819D8">
        <w:rPr>
          <w:color w:val="000000" w:themeColor="text1"/>
          <w:lang w:val="en-GB"/>
        </w:rPr>
        <w:t xml:space="preserve">promoting </w:t>
      </w:r>
      <w:r w:rsidR="003703BE" w:rsidRPr="00C819D8">
        <w:rPr>
          <w:color w:val="000000" w:themeColor="text1"/>
          <w:lang w:val="en-GB"/>
        </w:rPr>
        <w:t xml:space="preserve">sustainable patterns of growth and  human development principles </w:t>
      </w:r>
      <w:r w:rsidR="00561EBD" w:rsidRPr="00C819D8">
        <w:rPr>
          <w:color w:val="000000" w:themeColor="text1"/>
          <w:lang w:val="en-GB"/>
        </w:rPr>
        <w:t>in the context of</w:t>
      </w:r>
      <w:r w:rsidR="003703BE" w:rsidRPr="00C819D8">
        <w:rPr>
          <w:color w:val="000000" w:themeColor="text1"/>
          <w:lang w:val="en-GB"/>
        </w:rPr>
        <w:t xml:space="preserve"> the EU </w:t>
      </w:r>
      <w:r w:rsidR="00E36046">
        <w:rPr>
          <w:color w:val="000000" w:themeColor="text1"/>
          <w:lang w:val="en-GB"/>
        </w:rPr>
        <w:t>a</w:t>
      </w:r>
      <w:r w:rsidR="003703BE" w:rsidRPr="00C819D8">
        <w:rPr>
          <w:color w:val="000000" w:themeColor="text1"/>
          <w:lang w:val="en-GB"/>
        </w:rPr>
        <w:t>ccession</w:t>
      </w:r>
      <w:r w:rsidR="00E36046">
        <w:rPr>
          <w:color w:val="000000" w:themeColor="text1"/>
          <w:lang w:val="en-GB"/>
        </w:rPr>
        <w:t>; (b</w:t>
      </w:r>
      <w:r w:rsidR="00561EBD" w:rsidRPr="00C819D8">
        <w:rPr>
          <w:color w:val="000000" w:themeColor="text1"/>
          <w:lang w:val="en-GB"/>
        </w:rPr>
        <w:t>) a</w:t>
      </w:r>
      <w:r w:rsidR="003703BE" w:rsidRPr="00C819D8">
        <w:rPr>
          <w:color w:val="000000" w:themeColor="text1"/>
          <w:lang w:val="en-GB"/>
        </w:rPr>
        <w:t>wareness</w:t>
      </w:r>
      <w:r w:rsidR="00E36046">
        <w:rPr>
          <w:color w:val="000000" w:themeColor="text1"/>
          <w:lang w:val="en-GB"/>
        </w:rPr>
        <w:t>-</w:t>
      </w:r>
      <w:r w:rsidR="003703BE" w:rsidRPr="00C819D8">
        <w:rPr>
          <w:color w:val="000000" w:themeColor="text1"/>
          <w:lang w:val="en-GB"/>
        </w:rPr>
        <w:t>raising, capacity</w:t>
      </w:r>
      <w:r w:rsidR="00E36046">
        <w:rPr>
          <w:color w:val="000000" w:themeColor="text1"/>
          <w:lang w:val="en-GB"/>
        </w:rPr>
        <w:t>-</w:t>
      </w:r>
      <w:r w:rsidR="003703BE" w:rsidRPr="00C819D8">
        <w:rPr>
          <w:color w:val="000000" w:themeColor="text1"/>
          <w:lang w:val="en-GB"/>
        </w:rPr>
        <w:t>building, monitoring and evaluation to ensure successful scaling up of interventions so they benefit all citizens, e</w:t>
      </w:r>
      <w:r w:rsidR="00561EBD" w:rsidRPr="00C819D8">
        <w:rPr>
          <w:color w:val="000000" w:themeColor="text1"/>
          <w:lang w:val="en-GB"/>
        </w:rPr>
        <w:t xml:space="preserve">specially </w:t>
      </w:r>
      <w:r w:rsidR="003703BE" w:rsidRPr="00C819D8">
        <w:rPr>
          <w:color w:val="000000" w:themeColor="text1"/>
          <w:lang w:val="en-GB"/>
        </w:rPr>
        <w:t>vulnerable groups</w:t>
      </w:r>
      <w:r w:rsidR="00E36046">
        <w:rPr>
          <w:color w:val="000000" w:themeColor="text1"/>
          <w:lang w:val="en-GB"/>
        </w:rPr>
        <w:t>;</w:t>
      </w:r>
      <w:r w:rsidR="00561EBD" w:rsidRPr="00C819D8">
        <w:rPr>
          <w:color w:val="000000" w:themeColor="text1"/>
          <w:lang w:val="en-GB"/>
        </w:rPr>
        <w:t xml:space="preserve"> and</w:t>
      </w:r>
      <w:r w:rsidR="003703BE" w:rsidRPr="00C819D8">
        <w:rPr>
          <w:color w:val="000000" w:themeColor="text1"/>
          <w:lang w:val="en-GB"/>
        </w:rPr>
        <w:t xml:space="preserve"> </w:t>
      </w:r>
      <w:r w:rsidR="00E36046">
        <w:rPr>
          <w:color w:val="000000" w:themeColor="text1"/>
          <w:lang w:val="en-GB"/>
        </w:rPr>
        <w:t>(c</w:t>
      </w:r>
      <w:r w:rsidR="003703BE" w:rsidRPr="00C819D8">
        <w:rPr>
          <w:color w:val="000000" w:themeColor="text1"/>
          <w:lang w:val="en-GB"/>
        </w:rPr>
        <w:t xml:space="preserve">) </w:t>
      </w:r>
      <w:r w:rsidR="00E36046">
        <w:rPr>
          <w:color w:val="000000" w:themeColor="text1"/>
          <w:lang w:val="en-GB"/>
        </w:rPr>
        <w:t>information and communication technologies</w:t>
      </w:r>
      <w:r w:rsidR="00E75C1A">
        <w:rPr>
          <w:color w:val="000000" w:themeColor="text1"/>
          <w:lang w:val="en-GB"/>
        </w:rPr>
        <w:t xml:space="preserve"> (ICTs)</w:t>
      </w:r>
      <w:r w:rsidR="003703BE" w:rsidRPr="00C819D8">
        <w:rPr>
          <w:color w:val="000000" w:themeColor="text1"/>
          <w:lang w:val="en-GB"/>
        </w:rPr>
        <w:t xml:space="preserve">, open data and social media </w:t>
      </w:r>
      <w:r w:rsidR="00E36046">
        <w:rPr>
          <w:color w:val="000000" w:themeColor="text1"/>
          <w:lang w:val="en-GB"/>
        </w:rPr>
        <w:t>as</w:t>
      </w:r>
      <w:r w:rsidR="003703BE" w:rsidRPr="00C819D8">
        <w:rPr>
          <w:color w:val="000000" w:themeColor="text1"/>
          <w:lang w:val="en-GB"/>
        </w:rPr>
        <w:t xml:space="preserve"> an effective vehicle to enhance reform processes an</w:t>
      </w:r>
      <w:r w:rsidR="00561EBD" w:rsidRPr="00C819D8">
        <w:rPr>
          <w:color w:val="000000" w:themeColor="text1"/>
          <w:lang w:val="en-GB"/>
        </w:rPr>
        <w:t>d make them more participatory, transparent and accountable</w:t>
      </w:r>
      <w:r w:rsidR="003703BE" w:rsidRPr="00C819D8">
        <w:rPr>
          <w:color w:val="000000" w:themeColor="text1"/>
          <w:lang w:val="en-GB"/>
        </w:rPr>
        <w:t>.</w:t>
      </w:r>
      <w:r w:rsidRPr="00C819D8">
        <w:rPr>
          <w:color w:val="000000" w:themeColor="text1"/>
          <w:lang w:val="en-GB"/>
        </w:rPr>
        <w:t xml:space="preserve"> </w:t>
      </w:r>
      <w:r w:rsidR="000E6DEB" w:rsidRPr="00C819D8">
        <w:rPr>
          <w:color w:val="000000" w:themeColor="text1"/>
          <w:lang w:val="en-GB"/>
        </w:rPr>
        <w:t>In line with</w:t>
      </w:r>
      <w:r w:rsidR="00724B96" w:rsidRPr="00C819D8">
        <w:rPr>
          <w:color w:val="000000" w:themeColor="text1"/>
          <w:lang w:val="en-GB"/>
        </w:rPr>
        <w:t xml:space="preserve"> </w:t>
      </w:r>
      <w:r w:rsidR="00105CE1" w:rsidRPr="00C819D8">
        <w:rPr>
          <w:color w:val="000000" w:themeColor="text1"/>
          <w:lang w:val="en-GB"/>
        </w:rPr>
        <w:t>the evaluation</w:t>
      </w:r>
      <w:r w:rsidR="00E36046">
        <w:rPr>
          <w:color w:val="000000" w:themeColor="text1"/>
          <w:lang w:val="en-GB"/>
        </w:rPr>
        <w:t xml:space="preserve"> of the country programme</w:t>
      </w:r>
      <w:r w:rsidR="00105CE1" w:rsidRPr="00C819D8">
        <w:rPr>
          <w:color w:val="000000" w:themeColor="text1"/>
          <w:lang w:val="en-GB"/>
        </w:rPr>
        <w:t xml:space="preserve">, </w:t>
      </w:r>
      <w:r w:rsidRPr="00C819D8">
        <w:rPr>
          <w:color w:val="000000" w:themeColor="text1"/>
          <w:lang w:val="en-GB"/>
        </w:rPr>
        <w:t>UNDP has built these lessons into the new programming cycle.</w:t>
      </w:r>
    </w:p>
    <w:p w14:paraId="259153E4" w14:textId="45918419" w:rsidR="00B13C89" w:rsidRPr="003F2C03" w:rsidRDefault="009A5383" w:rsidP="00172FEE">
      <w:pPr>
        <w:pStyle w:val="ListParagraph"/>
        <w:numPr>
          <w:ilvl w:val="0"/>
          <w:numId w:val="45"/>
        </w:numPr>
        <w:tabs>
          <w:tab w:val="left" w:pos="180"/>
          <w:tab w:val="left" w:pos="360"/>
          <w:tab w:val="left" w:pos="540"/>
        </w:tabs>
        <w:spacing w:after="120"/>
        <w:ind w:left="-3" w:right="900" w:firstLine="0"/>
        <w:jc w:val="both"/>
        <w:rPr>
          <w:lang w:val="en-GB"/>
        </w:rPr>
      </w:pPr>
      <w:r w:rsidRPr="003F2C03">
        <w:rPr>
          <w:color w:val="000000" w:themeColor="text1"/>
          <w:lang w:val="en-GB"/>
        </w:rPr>
        <w:t xml:space="preserve">During the period 2017-2021, </w:t>
      </w:r>
      <w:r w:rsidR="00BD3DAB" w:rsidRPr="003F2C03">
        <w:rPr>
          <w:color w:val="000000" w:themeColor="text1"/>
          <w:lang w:val="en-GB"/>
        </w:rPr>
        <w:t>UNDP</w:t>
      </w:r>
      <w:r w:rsidR="00783E35" w:rsidRPr="003F2C03">
        <w:rPr>
          <w:color w:val="000000" w:themeColor="text1"/>
          <w:lang w:val="en-GB"/>
        </w:rPr>
        <w:t xml:space="preserve"> </w:t>
      </w:r>
      <w:r w:rsidR="004302EC" w:rsidRPr="003F2C03">
        <w:rPr>
          <w:color w:val="000000" w:themeColor="text1"/>
          <w:lang w:val="en-GB"/>
        </w:rPr>
        <w:t xml:space="preserve">will </w:t>
      </w:r>
      <w:r w:rsidR="00BD3DAB" w:rsidRPr="003F2C03">
        <w:rPr>
          <w:color w:val="000000" w:themeColor="text1"/>
          <w:lang w:val="en-GB"/>
        </w:rPr>
        <w:t xml:space="preserve">support the Government </w:t>
      </w:r>
      <w:r w:rsidRPr="003F2C03">
        <w:rPr>
          <w:color w:val="000000" w:themeColor="text1"/>
          <w:lang w:val="en-GB"/>
        </w:rPr>
        <w:t xml:space="preserve">in </w:t>
      </w:r>
      <w:r w:rsidR="001E5758" w:rsidRPr="003F2C03">
        <w:rPr>
          <w:color w:val="000000" w:themeColor="text1"/>
          <w:lang w:val="en-GB"/>
        </w:rPr>
        <w:t>advancing</w:t>
      </w:r>
      <w:r w:rsidR="001539D0" w:rsidRPr="003F2C03">
        <w:rPr>
          <w:color w:val="000000" w:themeColor="text1"/>
          <w:lang w:val="en-GB"/>
        </w:rPr>
        <w:t xml:space="preserve"> </w:t>
      </w:r>
      <w:r w:rsidR="00BD3DAB" w:rsidRPr="003F2C03">
        <w:rPr>
          <w:color w:val="000000" w:themeColor="text1"/>
          <w:lang w:val="en-GB"/>
        </w:rPr>
        <w:t>the National Sustainable Development Strategy</w:t>
      </w:r>
      <w:r w:rsidR="001539D0" w:rsidRPr="003F2C03">
        <w:rPr>
          <w:color w:val="000000" w:themeColor="text1"/>
          <w:lang w:val="en-GB"/>
        </w:rPr>
        <w:t>, adapt</w:t>
      </w:r>
      <w:r w:rsidR="00E36046">
        <w:rPr>
          <w:color w:val="000000" w:themeColor="text1"/>
          <w:lang w:val="en-GB"/>
        </w:rPr>
        <w:t>ing</w:t>
      </w:r>
      <w:r w:rsidR="001539D0" w:rsidRPr="003F2C03">
        <w:rPr>
          <w:color w:val="000000" w:themeColor="text1"/>
          <w:lang w:val="en-GB"/>
        </w:rPr>
        <w:t xml:space="preserve"> the SDGs to the national context</w:t>
      </w:r>
      <w:r w:rsidR="005B6916" w:rsidRPr="003F2C03">
        <w:rPr>
          <w:color w:val="000000" w:themeColor="text1"/>
          <w:lang w:val="en-GB"/>
        </w:rPr>
        <w:t xml:space="preserve"> and implement</w:t>
      </w:r>
      <w:r w:rsidR="00E36046">
        <w:rPr>
          <w:color w:val="000000" w:themeColor="text1"/>
          <w:lang w:val="en-GB"/>
        </w:rPr>
        <w:t>ing them</w:t>
      </w:r>
      <w:r w:rsidR="001539D0" w:rsidRPr="003F2C03">
        <w:rPr>
          <w:color w:val="000000" w:themeColor="text1"/>
          <w:lang w:val="en-GB"/>
        </w:rPr>
        <w:t xml:space="preserve">, </w:t>
      </w:r>
      <w:r w:rsidR="00C819D8" w:rsidRPr="003F2C03">
        <w:rPr>
          <w:color w:val="000000" w:themeColor="text1"/>
          <w:lang w:val="en-GB"/>
        </w:rPr>
        <w:t>and support</w:t>
      </w:r>
      <w:r w:rsidR="00E36046">
        <w:rPr>
          <w:color w:val="000000" w:themeColor="text1"/>
          <w:lang w:val="en-GB"/>
        </w:rPr>
        <w:t>ing</w:t>
      </w:r>
      <w:r w:rsidR="001E5758" w:rsidRPr="003F2C03">
        <w:rPr>
          <w:color w:val="000000" w:themeColor="text1"/>
          <w:lang w:val="en-GB"/>
        </w:rPr>
        <w:t xml:space="preserve"> EU </w:t>
      </w:r>
      <w:r w:rsidR="00E36046">
        <w:rPr>
          <w:color w:val="000000" w:themeColor="text1"/>
          <w:lang w:val="en-GB"/>
        </w:rPr>
        <w:t>a</w:t>
      </w:r>
      <w:r w:rsidR="001E5758" w:rsidRPr="003F2C03">
        <w:rPr>
          <w:color w:val="000000" w:themeColor="text1"/>
          <w:lang w:val="en-GB"/>
        </w:rPr>
        <w:t xml:space="preserve">ccession </w:t>
      </w:r>
      <w:r w:rsidR="000E6DEB" w:rsidRPr="003F2C03">
        <w:rPr>
          <w:color w:val="000000" w:themeColor="text1"/>
          <w:lang w:val="en-GB"/>
        </w:rPr>
        <w:t>priorities</w:t>
      </w:r>
      <w:r w:rsidR="001E5758" w:rsidRPr="003F2C03">
        <w:rPr>
          <w:color w:val="000000" w:themeColor="text1"/>
          <w:lang w:val="en-GB"/>
        </w:rPr>
        <w:t>.</w:t>
      </w:r>
      <w:r w:rsidR="003803FB" w:rsidRPr="003F2C03">
        <w:rPr>
          <w:color w:val="000000" w:themeColor="text1"/>
          <w:lang w:val="en-GB"/>
        </w:rPr>
        <w:t xml:space="preserve"> </w:t>
      </w:r>
      <w:r w:rsidR="00BD3DAB" w:rsidRPr="003F2C03">
        <w:rPr>
          <w:color w:val="000000" w:themeColor="text1"/>
          <w:lang w:val="en-GB"/>
        </w:rPr>
        <w:t xml:space="preserve">UNDP will </w:t>
      </w:r>
      <w:r w:rsidR="004302EC" w:rsidRPr="003F2C03">
        <w:rPr>
          <w:color w:val="000000" w:themeColor="text1"/>
          <w:lang w:val="en-GB"/>
        </w:rPr>
        <w:t xml:space="preserve">work closely with </w:t>
      </w:r>
      <w:r w:rsidR="00E26669" w:rsidRPr="003F2C03">
        <w:rPr>
          <w:color w:val="000000" w:themeColor="text1"/>
          <w:lang w:val="en-GB"/>
        </w:rPr>
        <w:t>c</w:t>
      </w:r>
      <w:r w:rsidR="004C13E6" w:rsidRPr="003F2C03">
        <w:rPr>
          <w:color w:val="000000" w:themeColor="text1"/>
          <w:lang w:val="en-GB"/>
        </w:rPr>
        <w:t xml:space="preserve">entral and local </w:t>
      </w:r>
      <w:r w:rsidR="00E36046">
        <w:rPr>
          <w:color w:val="000000" w:themeColor="text1"/>
          <w:lang w:val="en-GB"/>
        </w:rPr>
        <w:t>g</w:t>
      </w:r>
      <w:r w:rsidR="004302EC" w:rsidRPr="003F2C03">
        <w:rPr>
          <w:color w:val="000000" w:themeColor="text1"/>
          <w:lang w:val="en-GB"/>
        </w:rPr>
        <w:t>overnment</w:t>
      </w:r>
      <w:r w:rsidR="004C13E6" w:rsidRPr="003F2C03">
        <w:rPr>
          <w:color w:val="000000" w:themeColor="text1"/>
          <w:lang w:val="en-GB"/>
        </w:rPr>
        <w:t xml:space="preserve">, civil society and </w:t>
      </w:r>
      <w:r w:rsidR="00E36046">
        <w:rPr>
          <w:color w:val="000000" w:themeColor="text1"/>
          <w:lang w:val="en-GB"/>
        </w:rPr>
        <w:t>United Nations</w:t>
      </w:r>
      <w:r w:rsidR="00E36046" w:rsidRPr="003F2C03">
        <w:rPr>
          <w:color w:val="000000" w:themeColor="text1"/>
          <w:lang w:val="en-GB"/>
        </w:rPr>
        <w:t xml:space="preserve"> </w:t>
      </w:r>
      <w:r w:rsidR="00C819D8" w:rsidRPr="003F2C03">
        <w:rPr>
          <w:color w:val="000000" w:themeColor="text1"/>
          <w:lang w:val="en-GB"/>
        </w:rPr>
        <w:t>agencies</w:t>
      </w:r>
      <w:r w:rsidR="00E36046">
        <w:rPr>
          <w:color w:val="000000" w:themeColor="text1"/>
          <w:lang w:val="en-GB"/>
        </w:rPr>
        <w:t xml:space="preserve">. </w:t>
      </w:r>
      <w:r w:rsidR="00C819D8" w:rsidRPr="003F2C03">
        <w:rPr>
          <w:color w:val="000000" w:themeColor="text1"/>
          <w:lang w:val="en-GB"/>
        </w:rPr>
        <w:t xml:space="preserve"> </w:t>
      </w:r>
      <w:r w:rsidR="00E36046">
        <w:rPr>
          <w:color w:val="000000" w:themeColor="text1"/>
          <w:lang w:val="en-GB"/>
        </w:rPr>
        <w:t>Through</w:t>
      </w:r>
      <w:r w:rsidR="00E36046" w:rsidRPr="003F2C03">
        <w:rPr>
          <w:color w:val="000000" w:themeColor="text1"/>
          <w:lang w:val="en-GB"/>
        </w:rPr>
        <w:t xml:space="preserve"> </w:t>
      </w:r>
      <w:r w:rsidR="00C819D8" w:rsidRPr="003F2C03">
        <w:rPr>
          <w:color w:val="000000" w:themeColor="text1"/>
          <w:lang w:val="en-GB"/>
        </w:rPr>
        <w:t xml:space="preserve">targeting </w:t>
      </w:r>
      <w:r w:rsidR="00E36046">
        <w:rPr>
          <w:color w:val="000000" w:themeColor="text1"/>
          <w:lang w:val="en-GB"/>
        </w:rPr>
        <w:t xml:space="preserve">it </w:t>
      </w:r>
      <w:r w:rsidR="00C819D8">
        <w:rPr>
          <w:color w:val="000000" w:themeColor="text1"/>
          <w:lang w:val="en-GB"/>
        </w:rPr>
        <w:t xml:space="preserve">will </w:t>
      </w:r>
      <w:r w:rsidR="00C819D8" w:rsidRPr="003F2C03">
        <w:rPr>
          <w:color w:val="000000" w:themeColor="text1"/>
          <w:lang w:val="en-GB"/>
        </w:rPr>
        <w:t>reinforce results</w:t>
      </w:r>
      <w:r w:rsidR="00E26669" w:rsidRPr="003F2C03">
        <w:rPr>
          <w:color w:val="000000" w:themeColor="text1"/>
          <w:lang w:val="en-GB"/>
        </w:rPr>
        <w:t xml:space="preserve"> across the </w:t>
      </w:r>
      <w:r w:rsidR="00D873BA" w:rsidRPr="003F2C03">
        <w:rPr>
          <w:color w:val="000000" w:themeColor="text1"/>
          <w:lang w:val="en-GB"/>
        </w:rPr>
        <w:t xml:space="preserve">UNDAF priority </w:t>
      </w:r>
      <w:r w:rsidR="009346D8" w:rsidRPr="003F2C03">
        <w:rPr>
          <w:color w:val="000000" w:themeColor="text1"/>
          <w:lang w:val="en-GB"/>
        </w:rPr>
        <w:t xml:space="preserve">areas of </w:t>
      </w:r>
      <w:r w:rsidR="00FD740F" w:rsidRPr="003F2C03">
        <w:rPr>
          <w:color w:val="000000" w:themeColor="text1"/>
          <w:lang w:val="en-GB"/>
        </w:rPr>
        <w:t xml:space="preserve">democratic </w:t>
      </w:r>
      <w:r w:rsidR="00E8088B" w:rsidRPr="003F2C03">
        <w:rPr>
          <w:color w:val="000000" w:themeColor="text1"/>
          <w:lang w:val="en-GB"/>
        </w:rPr>
        <w:t xml:space="preserve">governance, </w:t>
      </w:r>
      <w:r w:rsidR="00BD3DAB" w:rsidRPr="003F2C03">
        <w:rPr>
          <w:color w:val="000000" w:themeColor="text1"/>
          <w:lang w:val="en-GB"/>
        </w:rPr>
        <w:t>env</w:t>
      </w:r>
      <w:r w:rsidR="00E8088B" w:rsidRPr="003F2C03">
        <w:rPr>
          <w:color w:val="000000" w:themeColor="text1"/>
          <w:lang w:val="en-GB"/>
        </w:rPr>
        <w:t xml:space="preserve">ironmental sustainability, social inclusion and </w:t>
      </w:r>
      <w:r w:rsidR="00BD3DAB" w:rsidRPr="003F2C03">
        <w:rPr>
          <w:color w:val="000000" w:themeColor="text1"/>
          <w:lang w:val="en-GB"/>
        </w:rPr>
        <w:t>economic development</w:t>
      </w:r>
      <w:r w:rsidR="004C099A" w:rsidRPr="003F2C03">
        <w:rPr>
          <w:color w:val="000000" w:themeColor="text1"/>
          <w:lang w:val="en-GB"/>
        </w:rPr>
        <w:t xml:space="preserve">. </w:t>
      </w:r>
      <w:r w:rsidR="004F0850" w:rsidRPr="003F2C03">
        <w:rPr>
          <w:color w:val="000000" w:themeColor="text1"/>
          <w:lang w:val="en-GB"/>
        </w:rPr>
        <w:t xml:space="preserve"> </w:t>
      </w:r>
    </w:p>
    <w:p w14:paraId="1FBA38B7" w14:textId="33299E49" w:rsidR="00E36046" w:rsidRPr="00AA7688" w:rsidRDefault="00614243" w:rsidP="00172FEE">
      <w:pPr>
        <w:pStyle w:val="ListParagraph"/>
        <w:numPr>
          <w:ilvl w:val="0"/>
          <w:numId w:val="45"/>
        </w:numPr>
        <w:tabs>
          <w:tab w:val="left" w:pos="180"/>
          <w:tab w:val="left" w:pos="360"/>
        </w:tabs>
        <w:spacing w:after="120"/>
        <w:ind w:left="-3" w:right="900" w:firstLine="0"/>
        <w:jc w:val="both"/>
        <w:rPr>
          <w:lang w:val="en-GB"/>
        </w:rPr>
      </w:pPr>
      <w:r w:rsidRPr="00AA7688">
        <w:rPr>
          <w:b/>
          <w:i/>
          <w:color w:val="000000" w:themeColor="text1"/>
          <w:lang w:val="en-GB"/>
        </w:rPr>
        <w:lastRenderedPageBreak/>
        <w:t>D</w:t>
      </w:r>
      <w:r w:rsidR="008C018C" w:rsidRPr="00AA7688">
        <w:rPr>
          <w:b/>
          <w:i/>
          <w:color w:val="000000" w:themeColor="text1"/>
          <w:lang w:val="en-GB"/>
        </w:rPr>
        <w:t>emocratic governance:</w:t>
      </w:r>
      <w:r w:rsidR="008C018C" w:rsidRPr="00AA7688">
        <w:rPr>
          <w:b/>
          <w:color w:val="000000" w:themeColor="text1"/>
          <w:lang w:val="en-GB"/>
        </w:rPr>
        <w:t xml:space="preserve"> </w:t>
      </w:r>
      <w:r w:rsidR="00F36EB3" w:rsidRPr="003F2C03">
        <w:rPr>
          <w:color w:val="000000" w:themeColor="text1"/>
          <w:lang w:val="en-GB"/>
        </w:rPr>
        <w:t>Through working partnerships with</w:t>
      </w:r>
      <w:r w:rsidR="00E36046">
        <w:rPr>
          <w:color w:val="000000" w:themeColor="text1"/>
          <w:lang w:val="en-GB"/>
        </w:rPr>
        <w:t xml:space="preserve"> the</w:t>
      </w:r>
      <w:r w:rsidR="00F36EB3" w:rsidRPr="003F2C03">
        <w:rPr>
          <w:color w:val="000000" w:themeColor="text1"/>
          <w:lang w:val="en-GB"/>
        </w:rPr>
        <w:t xml:space="preserve"> EU and </w:t>
      </w:r>
      <w:r w:rsidR="00E36046">
        <w:rPr>
          <w:color w:val="000000" w:themeColor="text1"/>
          <w:lang w:val="en-GB"/>
        </w:rPr>
        <w:t xml:space="preserve">the </w:t>
      </w:r>
      <w:r w:rsidR="00F36EB3" w:rsidRPr="003F2C03">
        <w:rPr>
          <w:color w:val="000000" w:themeColor="text1"/>
          <w:lang w:val="en-GB"/>
        </w:rPr>
        <w:t>Government</w:t>
      </w:r>
      <w:r w:rsidR="00F36EB3" w:rsidRPr="00AA7688">
        <w:rPr>
          <w:b/>
          <w:color w:val="000000" w:themeColor="text1"/>
          <w:lang w:val="en-GB"/>
        </w:rPr>
        <w:t xml:space="preserve">, </w:t>
      </w:r>
      <w:r w:rsidR="00095BB1" w:rsidRPr="003F2C03">
        <w:t xml:space="preserve">UNDP will continue </w:t>
      </w:r>
      <w:r w:rsidR="00E36046">
        <w:t xml:space="preserve">to </w:t>
      </w:r>
      <w:r w:rsidR="00095BB1" w:rsidRPr="003F2C03">
        <w:t xml:space="preserve">address capacity gaps </w:t>
      </w:r>
      <w:r w:rsidR="00C819D8" w:rsidRPr="003F2C03">
        <w:t>and rule</w:t>
      </w:r>
      <w:r w:rsidR="00095BB1" w:rsidRPr="003F2C03">
        <w:t xml:space="preserve"> of law challenges to strengthen effectiveness, transparency and accountability of democratic institutions and processes</w:t>
      </w:r>
      <w:r w:rsidR="00745EF6" w:rsidRPr="003F2C03">
        <w:t xml:space="preserve">. </w:t>
      </w:r>
      <w:r w:rsidR="007374E9" w:rsidRPr="003F2C03">
        <w:t>East-East cooperation opportunities in th</w:t>
      </w:r>
      <w:r w:rsidR="00CD1083" w:rsidRPr="003F2C03">
        <w:t>ese</w:t>
      </w:r>
      <w:r w:rsidR="007374E9" w:rsidRPr="003F2C03">
        <w:t xml:space="preserve"> area</w:t>
      </w:r>
      <w:r w:rsidR="00CD1083" w:rsidRPr="003F2C03">
        <w:t>s</w:t>
      </w:r>
      <w:r w:rsidR="007374E9" w:rsidRPr="003F2C03">
        <w:t xml:space="preserve"> will be pursued </w:t>
      </w:r>
      <w:r w:rsidR="00CD1083" w:rsidRPr="003F2C03">
        <w:t>specifically</w:t>
      </w:r>
      <w:r w:rsidR="00745EF6" w:rsidRPr="003F2C03">
        <w:t xml:space="preserve"> though expert support from </w:t>
      </w:r>
      <w:r w:rsidR="00EE761F" w:rsidRPr="003F2C03">
        <w:t xml:space="preserve">new </w:t>
      </w:r>
      <w:r w:rsidR="00745EF6" w:rsidRPr="003F2C03">
        <w:t xml:space="preserve">EU </w:t>
      </w:r>
      <w:r w:rsidR="00EE761F" w:rsidRPr="003F2C03">
        <w:t xml:space="preserve">member </w:t>
      </w:r>
      <w:r w:rsidR="00732199" w:rsidRPr="003F2C03">
        <w:t>countries.</w:t>
      </w:r>
      <w:r w:rsidR="00CD1083" w:rsidRPr="003F2C03">
        <w:t xml:space="preserve"> </w:t>
      </w:r>
      <w:r w:rsidR="00095BB1" w:rsidRPr="003F2C03">
        <w:rPr>
          <w:color w:val="000000"/>
          <w:lang w:val="en-GB"/>
        </w:rPr>
        <w:t>UNDP will</w:t>
      </w:r>
      <w:r w:rsidR="0089245A" w:rsidRPr="003F2C03">
        <w:rPr>
          <w:color w:val="000000"/>
          <w:lang w:val="en-GB"/>
        </w:rPr>
        <w:t xml:space="preserve"> </w:t>
      </w:r>
      <w:r w:rsidR="00095BB1" w:rsidRPr="003F2C03">
        <w:rPr>
          <w:color w:val="000000"/>
          <w:lang w:val="en-GB"/>
        </w:rPr>
        <w:t>scale up highly successful and innovative models for citizen participation to facilitate</w:t>
      </w:r>
      <w:r w:rsidR="00095BB1" w:rsidRPr="003F2C03">
        <w:rPr>
          <w:lang w:val="en-GB"/>
        </w:rPr>
        <w:t xml:space="preserve"> </w:t>
      </w:r>
      <w:r w:rsidR="00095BB1" w:rsidRPr="003F2C03">
        <w:t>broader civic engagement</w:t>
      </w:r>
      <w:r w:rsidR="000E6DEB" w:rsidRPr="003F2C03">
        <w:t>.</w:t>
      </w:r>
      <w:r w:rsidR="00914472" w:rsidRPr="003F2C03">
        <w:rPr>
          <w:color w:val="000000"/>
          <w:lang w:val="en-GB"/>
        </w:rPr>
        <w:t xml:space="preserve"> </w:t>
      </w:r>
      <w:r w:rsidR="00095BB1" w:rsidRPr="003F2C03">
        <w:rPr>
          <w:color w:val="000000"/>
          <w:lang w:val="en-GB"/>
        </w:rPr>
        <w:t>Expert policy and capacity</w:t>
      </w:r>
      <w:r w:rsidR="00E36046">
        <w:rPr>
          <w:color w:val="000000"/>
          <w:lang w:val="en-GB"/>
        </w:rPr>
        <w:t>-</w:t>
      </w:r>
      <w:r w:rsidR="00095BB1" w:rsidRPr="003F2C03">
        <w:rPr>
          <w:color w:val="000000"/>
          <w:lang w:val="en-GB"/>
        </w:rPr>
        <w:t xml:space="preserve">building support will be provided </w:t>
      </w:r>
      <w:r w:rsidR="00F538CC" w:rsidRPr="003F2C03">
        <w:rPr>
          <w:color w:val="000000"/>
          <w:lang w:val="en-GB"/>
        </w:rPr>
        <w:t>to reform the ju</w:t>
      </w:r>
      <w:r w:rsidR="00095BB1" w:rsidRPr="003F2C03">
        <w:rPr>
          <w:color w:val="000000"/>
          <w:lang w:val="en-GB"/>
        </w:rPr>
        <w:t>diciary</w:t>
      </w:r>
      <w:r w:rsidR="00F538CC" w:rsidRPr="003F2C03">
        <w:rPr>
          <w:color w:val="000000"/>
          <w:lang w:val="en-GB"/>
        </w:rPr>
        <w:t xml:space="preserve"> sector,</w:t>
      </w:r>
      <w:r w:rsidR="00C00E1A" w:rsidRPr="003F2C03">
        <w:rPr>
          <w:color w:val="000000"/>
          <w:lang w:val="en-GB"/>
        </w:rPr>
        <w:t xml:space="preserve"> including </w:t>
      </w:r>
      <w:r w:rsidR="00F538CC" w:rsidRPr="003F2C03">
        <w:rPr>
          <w:color w:val="000000"/>
          <w:lang w:val="en-GB"/>
        </w:rPr>
        <w:t xml:space="preserve">in relation to </w:t>
      </w:r>
      <w:r w:rsidR="00C00E1A" w:rsidRPr="003F2C03">
        <w:rPr>
          <w:color w:val="000000"/>
          <w:lang w:val="en-GB"/>
        </w:rPr>
        <w:t>access to justice</w:t>
      </w:r>
      <w:r w:rsidR="00F538CC" w:rsidRPr="003F2C03">
        <w:rPr>
          <w:color w:val="000000"/>
          <w:lang w:val="en-GB"/>
        </w:rPr>
        <w:t xml:space="preserve"> and </w:t>
      </w:r>
      <w:r w:rsidR="00C00E1A" w:rsidRPr="003F2C03">
        <w:rPr>
          <w:color w:val="000000"/>
          <w:lang w:val="en-GB"/>
        </w:rPr>
        <w:t>legal aid</w:t>
      </w:r>
      <w:r w:rsidR="009E2C85" w:rsidRPr="003F2C03">
        <w:rPr>
          <w:color w:val="000000"/>
          <w:lang w:val="en-GB"/>
        </w:rPr>
        <w:t>;</w:t>
      </w:r>
      <w:r w:rsidR="00095BB1" w:rsidRPr="003F2C03">
        <w:rPr>
          <w:color w:val="000000"/>
          <w:lang w:val="en-GB"/>
        </w:rPr>
        <w:t xml:space="preserve"> </w:t>
      </w:r>
      <w:r w:rsidR="00E36046">
        <w:rPr>
          <w:color w:val="000000"/>
          <w:lang w:val="en-GB"/>
        </w:rPr>
        <w:t>a</w:t>
      </w:r>
      <w:r w:rsidR="00095BB1" w:rsidRPr="003F2C03">
        <w:rPr>
          <w:color w:val="000000"/>
          <w:lang w:val="en-GB"/>
        </w:rPr>
        <w:t xml:space="preserve">ction </w:t>
      </w:r>
      <w:r w:rsidR="00E36046">
        <w:rPr>
          <w:color w:val="000000"/>
          <w:lang w:val="en-GB"/>
        </w:rPr>
        <w:t>p</w:t>
      </w:r>
      <w:r w:rsidR="00095BB1" w:rsidRPr="003F2C03">
        <w:rPr>
          <w:color w:val="000000"/>
          <w:lang w:val="en-GB"/>
        </w:rPr>
        <w:t xml:space="preserve">lans for </w:t>
      </w:r>
      <w:r w:rsidR="00F538CC" w:rsidRPr="003F2C03">
        <w:rPr>
          <w:color w:val="000000"/>
          <w:lang w:val="en-GB"/>
        </w:rPr>
        <w:t>EU accession</w:t>
      </w:r>
      <w:r w:rsidR="00095BB1" w:rsidRPr="003F2C03">
        <w:rPr>
          <w:color w:val="000000"/>
          <w:lang w:val="en-GB"/>
        </w:rPr>
        <w:t xml:space="preserve"> </w:t>
      </w:r>
      <w:r w:rsidR="00E36046">
        <w:rPr>
          <w:color w:val="000000"/>
          <w:lang w:val="en-GB"/>
        </w:rPr>
        <w:t>c</w:t>
      </w:r>
      <w:r w:rsidR="00095BB1" w:rsidRPr="003F2C03">
        <w:rPr>
          <w:color w:val="000000"/>
          <w:lang w:val="en-GB"/>
        </w:rPr>
        <w:t>hapter</w:t>
      </w:r>
      <w:r w:rsidR="00E36046">
        <w:rPr>
          <w:color w:val="000000"/>
          <w:lang w:val="en-GB"/>
        </w:rPr>
        <w:t>s</w:t>
      </w:r>
      <w:r w:rsidR="00095BB1" w:rsidRPr="003F2C03">
        <w:rPr>
          <w:color w:val="000000"/>
          <w:lang w:val="en-GB"/>
        </w:rPr>
        <w:t xml:space="preserve"> 23 and 24</w:t>
      </w:r>
      <w:r w:rsidR="009E2C85" w:rsidRPr="003F2C03">
        <w:rPr>
          <w:color w:val="000000"/>
          <w:lang w:val="en-GB"/>
        </w:rPr>
        <w:t>;</w:t>
      </w:r>
      <w:r w:rsidR="00095BB1" w:rsidRPr="003F2C03">
        <w:rPr>
          <w:color w:val="000000"/>
          <w:lang w:val="en-GB"/>
        </w:rPr>
        <w:t xml:space="preserve"> </w:t>
      </w:r>
      <w:r w:rsidR="00C954B8" w:rsidRPr="003F2C03">
        <w:rPr>
          <w:color w:val="000000"/>
          <w:lang w:val="en-GB"/>
        </w:rPr>
        <w:t>reform of p</w:t>
      </w:r>
      <w:r w:rsidR="00095BB1" w:rsidRPr="003F2C03">
        <w:rPr>
          <w:color w:val="000000"/>
          <w:lang w:val="en-GB"/>
        </w:rPr>
        <w:t xml:space="preserve">ublic </w:t>
      </w:r>
      <w:r w:rsidR="00C954B8" w:rsidRPr="003F2C03">
        <w:rPr>
          <w:color w:val="000000"/>
          <w:lang w:val="en-GB"/>
        </w:rPr>
        <w:t>a</w:t>
      </w:r>
      <w:r w:rsidR="00095BB1" w:rsidRPr="003F2C03">
        <w:rPr>
          <w:color w:val="000000"/>
          <w:lang w:val="en-GB"/>
        </w:rPr>
        <w:t>dministration</w:t>
      </w:r>
      <w:r w:rsidR="009E2C85" w:rsidRPr="003F2C03">
        <w:rPr>
          <w:color w:val="000000"/>
          <w:lang w:val="en-GB"/>
        </w:rPr>
        <w:t>;</w:t>
      </w:r>
      <w:r w:rsidR="00095BB1" w:rsidRPr="003F2C03">
        <w:rPr>
          <w:color w:val="000000"/>
          <w:lang w:val="en-GB"/>
        </w:rPr>
        <w:t xml:space="preserve"> and the Strategy for the Control of Small Arms and Light Weapons</w:t>
      </w:r>
      <w:r w:rsidR="00550F01" w:rsidRPr="003F2C03">
        <w:rPr>
          <w:color w:val="000000"/>
          <w:lang w:val="en-GB"/>
        </w:rPr>
        <w:t xml:space="preserve">. </w:t>
      </w:r>
      <w:r w:rsidR="00550F01" w:rsidRPr="003F2C03">
        <w:t>F</w:t>
      </w:r>
      <w:r w:rsidR="00C1076C" w:rsidRPr="003F2C03">
        <w:t xml:space="preserve">urther support will be provided in </w:t>
      </w:r>
      <w:r w:rsidR="00E36046">
        <w:t xml:space="preserve">the </w:t>
      </w:r>
      <w:r w:rsidR="00C1076C" w:rsidRPr="003F2C03">
        <w:t xml:space="preserve">security area though </w:t>
      </w:r>
      <w:r w:rsidR="00E74DCF" w:rsidRPr="003F2C03">
        <w:t>demilitarization and weapons control</w:t>
      </w:r>
      <w:r w:rsidR="007D511D">
        <w:t xml:space="preserve"> work.</w:t>
      </w:r>
      <w:r w:rsidR="00E74DCF" w:rsidRPr="003F2C03">
        <w:rPr>
          <w:rStyle w:val="FootnoteReference"/>
        </w:rPr>
        <w:footnoteReference w:id="26"/>
      </w:r>
      <w:r w:rsidR="00E74DCF" w:rsidRPr="003F2C03">
        <w:t xml:space="preserve"> </w:t>
      </w:r>
      <w:r w:rsidR="00095BB1" w:rsidRPr="003F2C03">
        <w:rPr>
          <w:color w:val="000000"/>
          <w:lang w:val="en-GB"/>
        </w:rPr>
        <w:t xml:space="preserve">. </w:t>
      </w:r>
    </w:p>
    <w:p w14:paraId="2B201D36" w14:textId="43E9DAFE" w:rsidR="00B13C89" w:rsidRPr="003F2C03" w:rsidRDefault="00E36046" w:rsidP="00172FEE">
      <w:pPr>
        <w:pStyle w:val="ListParagraph"/>
        <w:numPr>
          <w:ilvl w:val="0"/>
          <w:numId w:val="45"/>
        </w:numPr>
        <w:tabs>
          <w:tab w:val="left" w:pos="180"/>
          <w:tab w:val="left" w:pos="360"/>
        </w:tabs>
        <w:spacing w:after="120"/>
        <w:ind w:left="-3" w:right="900" w:firstLine="0"/>
        <w:jc w:val="both"/>
        <w:rPr>
          <w:lang w:val="en-GB"/>
        </w:rPr>
      </w:pPr>
      <w:r>
        <w:rPr>
          <w:color w:val="000000"/>
          <w:lang w:val="en-GB"/>
        </w:rPr>
        <w:t>E</w:t>
      </w:r>
      <w:r w:rsidR="00C251E9" w:rsidRPr="003F2C03">
        <w:rPr>
          <w:color w:val="000000"/>
          <w:lang w:val="en-GB"/>
        </w:rPr>
        <w:t xml:space="preserve">-governance models </w:t>
      </w:r>
      <w:r>
        <w:rPr>
          <w:color w:val="000000"/>
          <w:lang w:val="en-GB"/>
        </w:rPr>
        <w:t xml:space="preserve">will be introduced or enhanced </w:t>
      </w:r>
      <w:r w:rsidR="00C251E9" w:rsidRPr="003F2C03">
        <w:rPr>
          <w:color w:val="000000"/>
          <w:lang w:val="en-GB"/>
        </w:rPr>
        <w:t>in public administration</w:t>
      </w:r>
      <w:r>
        <w:rPr>
          <w:color w:val="000000"/>
          <w:lang w:val="en-GB"/>
        </w:rPr>
        <w:t>,</w:t>
      </w:r>
      <w:r w:rsidR="00C251E9" w:rsidRPr="003F2C03">
        <w:rPr>
          <w:color w:val="000000"/>
          <w:lang w:val="en-GB"/>
        </w:rPr>
        <w:t xml:space="preserve"> and the judiciary will </w:t>
      </w:r>
      <w:r w:rsidR="000E6DEB" w:rsidRPr="003F2C03">
        <w:rPr>
          <w:color w:val="000000"/>
          <w:lang w:val="en-GB"/>
        </w:rPr>
        <w:t xml:space="preserve">focus </w:t>
      </w:r>
      <w:r>
        <w:rPr>
          <w:color w:val="000000"/>
          <w:lang w:val="en-GB"/>
        </w:rPr>
        <w:t>on</w:t>
      </w:r>
      <w:r w:rsidR="000E6DEB" w:rsidRPr="003F2C03">
        <w:rPr>
          <w:color w:val="000000"/>
          <w:lang w:val="en-GB"/>
        </w:rPr>
        <w:t xml:space="preserve"> </w:t>
      </w:r>
      <w:r w:rsidR="00C819D8" w:rsidRPr="003F2C03">
        <w:rPr>
          <w:color w:val="000000"/>
          <w:lang w:val="en-GB"/>
        </w:rPr>
        <w:t>improv</w:t>
      </w:r>
      <w:r>
        <w:rPr>
          <w:color w:val="000000"/>
          <w:lang w:val="en-GB"/>
        </w:rPr>
        <w:t>ing</w:t>
      </w:r>
      <w:r w:rsidR="00C819D8" w:rsidRPr="003F2C03">
        <w:rPr>
          <w:color w:val="000000"/>
          <w:lang w:val="en-GB"/>
        </w:rPr>
        <w:t xml:space="preserve"> public</w:t>
      </w:r>
      <w:r w:rsidR="00745EF6" w:rsidRPr="003F2C03">
        <w:rPr>
          <w:color w:val="000000"/>
          <w:lang w:val="en-GB"/>
        </w:rPr>
        <w:t xml:space="preserve"> service delivery</w:t>
      </w:r>
      <w:r>
        <w:rPr>
          <w:color w:val="000000"/>
          <w:lang w:val="en-GB"/>
        </w:rPr>
        <w:t>,</w:t>
      </w:r>
      <w:r w:rsidR="000E6DEB" w:rsidRPr="003F2C03">
        <w:rPr>
          <w:color w:val="000000"/>
          <w:lang w:val="en-GB"/>
        </w:rPr>
        <w:t xml:space="preserve"> especially </w:t>
      </w:r>
      <w:r w:rsidR="00732199" w:rsidRPr="003F2C03">
        <w:t>for</w:t>
      </w:r>
      <w:r w:rsidR="00EE761F" w:rsidRPr="003F2C03">
        <w:t xml:space="preserve"> poor and excluded communities</w:t>
      </w:r>
      <w:r w:rsidR="00EE761F" w:rsidRPr="003F2C03">
        <w:rPr>
          <w:color w:val="000000"/>
          <w:lang w:val="en-GB"/>
        </w:rPr>
        <w:t xml:space="preserve">. </w:t>
      </w:r>
      <w:r w:rsidR="00C251E9" w:rsidRPr="003F2C03">
        <w:rPr>
          <w:color w:val="000000"/>
          <w:lang w:val="en-GB"/>
        </w:rPr>
        <w:t xml:space="preserve">UNDP will use its convening power and advocacy capacity to continue to support citizen networks and independent institutions </w:t>
      </w:r>
      <w:r w:rsidR="007D511D">
        <w:rPr>
          <w:color w:val="000000"/>
          <w:lang w:val="en-GB"/>
        </w:rPr>
        <w:t>of</w:t>
      </w:r>
      <w:r w:rsidR="007D511D" w:rsidRPr="003F2C03">
        <w:rPr>
          <w:color w:val="000000"/>
          <w:lang w:val="en-GB"/>
        </w:rPr>
        <w:t xml:space="preserve"> </w:t>
      </w:r>
      <w:r w:rsidR="00C251E9" w:rsidRPr="003F2C03">
        <w:rPr>
          <w:color w:val="000000"/>
          <w:lang w:val="en-GB"/>
        </w:rPr>
        <w:t xml:space="preserve">marginalized </w:t>
      </w:r>
      <w:r w:rsidR="007D511D">
        <w:rPr>
          <w:color w:val="000000"/>
          <w:lang w:val="en-GB"/>
        </w:rPr>
        <w:t xml:space="preserve">groups </w:t>
      </w:r>
      <w:r w:rsidR="00C251E9" w:rsidRPr="003F2C03">
        <w:rPr>
          <w:color w:val="000000"/>
          <w:lang w:val="en-GB"/>
        </w:rPr>
        <w:t xml:space="preserve">and </w:t>
      </w:r>
      <w:r w:rsidR="007D511D">
        <w:rPr>
          <w:color w:val="000000"/>
          <w:lang w:val="en-GB"/>
        </w:rPr>
        <w:t xml:space="preserve">those facing </w:t>
      </w:r>
      <w:r w:rsidR="00C251E9" w:rsidRPr="003F2C03">
        <w:rPr>
          <w:color w:val="000000"/>
          <w:lang w:val="en-GB"/>
        </w:rPr>
        <w:t>discriminat</w:t>
      </w:r>
      <w:r w:rsidR="007D511D">
        <w:rPr>
          <w:color w:val="000000"/>
          <w:lang w:val="en-GB"/>
        </w:rPr>
        <w:t>ion</w:t>
      </w:r>
      <w:r w:rsidR="00732126" w:rsidRPr="003F2C03">
        <w:rPr>
          <w:color w:val="000000"/>
          <w:lang w:val="en-GB"/>
        </w:rPr>
        <w:t xml:space="preserve"> </w:t>
      </w:r>
      <w:r w:rsidR="005D0DAC">
        <w:rPr>
          <w:color w:val="000000"/>
          <w:lang w:val="en-GB"/>
        </w:rPr>
        <w:t xml:space="preserve">to </w:t>
      </w:r>
      <w:r>
        <w:rPr>
          <w:color w:val="000000"/>
          <w:lang w:val="en-GB"/>
        </w:rPr>
        <w:t>exercise their human rights</w:t>
      </w:r>
      <w:r w:rsidR="00C251E9" w:rsidRPr="003F2C03">
        <w:rPr>
          <w:color w:val="000000"/>
          <w:lang w:val="en-GB"/>
        </w:rPr>
        <w:t xml:space="preserve">. </w:t>
      </w:r>
      <w:r w:rsidR="00C954B8" w:rsidRPr="003F2C03">
        <w:rPr>
          <w:color w:val="000000"/>
          <w:lang w:val="en-GB"/>
        </w:rPr>
        <w:t xml:space="preserve">At the local level, </w:t>
      </w:r>
      <w:r w:rsidR="004E605D" w:rsidRPr="003F2C03">
        <w:rPr>
          <w:color w:val="000000"/>
          <w:lang w:val="en-GB"/>
        </w:rPr>
        <w:t>UNDP will support develop</w:t>
      </w:r>
      <w:r w:rsidR="00645A89" w:rsidRPr="003F2C03">
        <w:rPr>
          <w:color w:val="000000"/>
          <w:lang w:val="en-GB"/>
        </w:rPr>
        <w:t>ment of</w:t>
      </w:r>
      <w:r w:rsidR="004E605D" w:rsidRPr="003F2C03">
        <w:rPr>
          <w:color w:val="000000"/>
          <w:lang w:val="en-GB"/>
        </w:rPr>
        <w:t xml:space="preserve"> capacities of local self-governments</w:t>
      </w:r>
      <w:r>
        <w:rPr>
          <w:color w:val="000000"/>
          <w:lang w:val="en-GB"/>
        </w:rPr>
        <w:t xml:space="preserve"> and</w:t>
      </w:r>
      <w:r w:rsidR="004E605D" w:rsidRPr="003F2C03">
        <w:rPr>
          <w:color w:val="000000"/>
          <w:lang w:val="en-GB"/>
        </w:rPr>
        <w:t xml:space="preserve"> </w:t>
      </w:r>
      <w:r w:rsidR="000E6DEB" w:rsidRPr="003F2C03">
        <w:rPr>
          <w:color w:val="000000"/>
          <w:lang w:val="en-GB"/>
        </w:rPr>
        <w:t>municipal manage</w:t>
      </w:r>
      <w:r>
        <w:rPr>
          <w:color w:val="000000"/>
          <w:lang w:val="en-GB"/>
        </w:rPr>
        <w:t>rs as well as</w:t>
      </w:r>
      <w:r w:rsidR="00645A89" w:rsidRPr="003F2C03">
        <w:rPr>
          <w:color w:val="000000"/>
          <w:lang w:val="en-GB"/>
        </w:rPr>
        <w:t xml:space="preserve"> cooperation</w:t>
      </w:r>
      <w:r w:rsidR="00C1076C" w:rsidRPr="003F2C03">
        <w:rPr>
          <w:color w:val="000000"/>
          <w:lang w:val="en-GB"/>
        </w:rPr>
        <w:t xml:space="preserve"> </w:t>
      </w:r>
      <w:r>
        <w:rPr>
          <w:color w:val="000000"/>
          <w:lang w:val="en-GB"/>
        </w:rPr>
        <w:t xml:space="preserve">between municipalities and </w:t>
      </w:r>
      <w:r w:rsidR="00C819D8" w:rsidRPr="003F2C03">
        <w:rPr>
          <w:color w:val="000000"/>
          <w:lang w:val="en-GB"/>
        </w:rPr>
        <w:t>strong</w:t>
      </w:r>
      <w:r w:rsidR="00C1076C" w:rsidRPr="003F2C03">
        <w:rPr>
          <w:color w:val="000000"/>
          <w:lang w:val="en-GB"/>
        </w:rPr>
        <w:t xml:space="preserve"> citizen engagement</w:t>
      </w:r>
      <w:r w:rsidR="0018433B" w:rsidRPr="003F2C03">
        <w:rPr>
          <w:color w:val="000000"/>
          <w:lang w:val="en-GB"/>
        </w:rPr>
        <w:t>.</w:t>
      </w:r>
      <w:r w:rsidR="004E605D" w:rsidRPr="003F2C03">
        <w:rPr>
          <w:color w:val="000000"/>
          <w:lang w:val="en-GB"/>
        </w:rPr>
        <w:t xml:space="preserve"> </w:t>
      </w:r>
      <w:r w:rsidR="00095BB1" w:rsidRPr="003F2C03">
        <w:rPr>
          <w:color w:val="000000"/>
          <w:lang w:val="en-GB"/>
        </w:rPr>
        <w:t xml:space="preserve">UNDP will support further advancement of gender equality in Parliament </w:t>
      </w:r>
      <w:r>
        <w:rPr>
          <w:color w:val="000000"/>
          <w:lang w:val="en-GB"/>
        </w:rPr>
        <w:t>through</w:t>
      </w:r>
      <w:r w:rsidRPr="003F2C03">
        <w:rPr>
          <w:color w:val="000000"/>
          <w:lang w:val="en-GB"/>
        </w:rPr>
        <w:t xml:space="preserve"> </w:t>
      </w:r>
      <w:r w:rsidR="00095BB1" w:rsidRPr="003F2C03">
        <w:rPr>
          <w:color w:val="000000"/>
          <w:lang w:val="en-GB"/>
        </w:rPr>
        <w:t>work with political parties, women parliamentarians and women’s caucuses at central and local level.</w:t>
      </w:r>
      <w:r w:rsidR="008C018C" w:rsidRPr="003F2C03">
        <w:rPr>
          <w:b/>
          <w:color w:val="000000" w:themeColor="text1"/>
          <w:u w:val="single"/>
          <w:lang w:val="en-GB"/>
        </w:rPr>
        <w:t xml:space="preserve"> </w:t>
      </w:r>
    </w:p>
    <w:p w14:paraId="3E1A9A7A" w14:textId="1F59C584" w:rsidR="00B13C89" w:rsidRPr="003F2C03" w:rsidRDefault="008C018C" w:rsidP="00172FEE">
      <w:pPr>
        <w:pStyle w:val="ListParagraph"/>
        <w:numPr>
          <w:ilvl w:val="0"/>
          <w:numId w:val="45"/>
        </w:numPr>
        <w:tabs>
          <w:tab w:val="left" w:pos="180"/>
          <w:tab w:val="left" w:pos="360"/>
        </w:tabs>
        <w:spacing w:after="120"/>
        <w:ind w:left="-3" w:right="900" w:firstLine="0"/>
        <w:jc w:val="both"/>
        <w:rPr>
          <w:lang w:val="en-GB"/>
        </w:rPr>
      </w:pPr>
      <w:r w:rsidRPr="00AA7688">
        <w:rPr>
          <w:b/>
          <w:i/>
          <w:color w:val="000000" w:themeColor="text1"/>
          <w:lang w:val="en-GB"/>
        </w:rPr>
        <w:t xml:space="preserve">Environmental </w:t>
      </w:r>
      <w:r w:rsidR="00E36046">
        <w:rPr>
          <w:b/>
          <w:i/>
          <w:color w:val="000000" w:themeColor="text1"/>
          <w:lang w:val="en-GB"/>
        </w:rPr>
        <w:t>s</w:t>
      </w:r>
      <w:r w:rsidRPr="00AA7688">
        <w:rPr>
          <w:b/>
          <w:i/>
          <w:color w:val="000000" w:themeColor="text1"/>
          <w:lang w:val="en-GB"/>
        </w:rPr>
        <w:t>ustainability:</w:t>
      </w:r>
      <w:r w:rsidR="00E51D02" w:rsidRPr="003F2C03">
        <w:t xml:space="preserve"> To ensure that </w:t>
      </w:r>
      <w:r w:rsidR="00E36046">
        <w:t xml:space="preserve">the </w:t>
      </w:r>
      <w:r w:rsidR="00E51D02" w:rsidRPr="003F2C03">
        <w:t xml:space="preserve">people of Montenegro benefit from sustainable management of natural resources and effective government approaches in combating climate change and disaster risk reduction, UNDP will focus on five </w:t>
      </w:r>
      <w:r w:rsidR="0007598D" w:rsidRPr="003F2C03">
        <w:t xml:space="preserve">priority </w:t>
      </w:r>
      <w:r w:rsidR="00E51D02" w:rsidRPr="003F2C03">
        <w:t xml:space="preserve">areas: </w:t>
      </w:r>
      <w:r w:rsidR="00E36046">
        <w:t>(a</w:t>
      </w:r>
      <w:r w:rsidR="00B55711" w:rsidRPr="003F2C03">
        <w:t>)</w:t>
      </w:r>
      <w:r w:rsidR="00E51D02" w:rsidRPr="003F2C03">
        <w:t xml:space="preserve"> ensuring climate change targets and environmental protection measures are integrated into </w:t>
      </w:r>
      <w:r w:rsidR="00E36046">
        <w:t>n</w:t>
      </w:r>
      <w:r w:rsidR="00E51D02" w:rsidRPr="003F2C03">
        <w:t>ational policies and planning</w:t>
      </w:r>
      <w:r w:rsidR="00B55711" w:rsidRPr="003F2C03">
        <w:t>;</w:t>
      </w:r>
      <w:r w:rsidR="00E51D02" w:rsidRPr="003F2C03">
        <w:t xml:space="preserve"> </w:t>
      </w:r>
      <w:r w:rsidR="00E36046">
        <w:t>(b</w:t>
      </w:r>
      <w:r w:rsidR="00B55711" w:rsidRPr="003F2C03">
        <w:t>)</w:t>
      </w:r>
      <w:r w:rsidR="00E51D02" w:rsidRPr="003F2C03">
        <w:t xml:space="preserve"> </w:t>
      </w:r>
      <w:r w:rsidR="00E36046">
        <w:t>reducing</w:t>
      </w:r>
      <w:r w:rsidR="00E36046" w:rsidRPr="003F2C03">
        <w:t xml:space="preserve"> </w:t>
      </w:r>
      <w:r w:rsidR="00E51D02" w:rsidRPr="003F2C03">
        <w:t xml:space="preserve">emissions of carbon dioxide; </w:t>
      </w:r>
      <w:r w:rsidR="00E36046">
        <w:t>(c</w:t>
      </w:r>
      <w:r w:rsidR="00B55711" w:rsidRPr="003F2C03">
        <w:t>)</w:t>
      </w:r>
      <w:r w:rsidR="00E51D02" w:rsidRPr="003F2C03">
        <w:t xml:space="preserve"> </w:t>
      </w:r>
      <w:r w:rsidR="005D0DAC">
        <w:t xml:space="preserve">supporting </w:t>
      </w:r>
      <w:r w:rsidR="00E36046">
        <w:t>i</w:t>
      </w:r>
      <w:r w:rsidR="0007598D" w:rsidRPr="003F2C03">
        <w:t>ntegrated w</w:t>
      </w:r>
      <w:r w:rsidR="00E51D02" w:rsidRPr="003F2C03">
        <w:t xml:space="preserve">aste </w:t>
      </w:r>
      <w:r w:rsidR="00EC77E9" w:rsidRPr="003F2C03">
        <w:t>management</w:t>
      </w:r>
      <w:r w:rsidR="00E51D02" w:rsidRPr="003F2C03">
        <w:t xml:space="preserve">; </w:t>
      </w:r>
      <w:r w:rsidR="00E36046">
        <w:t>(d</w:t>
      </w:r>
      <w:r w:rsidR="00B55711" w:rsidRPr="003F2C03">
        <w:t>)</w:t>
      </w:r>
      <w:r w:rsidR="00E51D02" w:rsidRPr="003F2C03">
        <w:t xml:space="preserve"> </w:t>
      </w:r>
      <w:r w:rsidR="005D0DAC">
        <w:t xml:space="preserve">aiding </w:t>
      </w:r>
      <w:r w:rsidR="00E36046">
        <w:t>m</w:t>
      </w:r>
      <w:r w:rsidR="00E51D02" w:rsidRPr="003F2C03">
        <w:t xml:space="preserve">anagement and conservation of ecosystems; </w:t>
      </w:r>
      <w:r w:rsidR="00E36046">
        <w:t>and (e</w:t>
      </w:r>
      <w:r w:rsidR="007A64DF" w:rsidRPr="003F2C03">
        <w:t>) improving capacities and awareness for resilience to disasters.</w:t>
      </w:r>
      <w:r w:rsidR="007A64DF" w:rsidRPr="003F2C03">
        <w:rPr>
          <w:lang w:val="en-CA"/>
        </w:rPr>
        <w:t xml:space="preserve"> </w:t>
      </w:r>
      <w:r w:rsidR="00E75C1A">
        <w:t>T</w:t>
      </w:r>
      <w:r w:rsidR="007A64DF" w:rsidRPr="003F2C03">
        <w:t xml:space="preserve">hrough the Centre for Sustainable Development, </w:t>
      </w:r>
      <w:r w:rsidR="00E75C1A">
        <w:t xml:space="preserve">UNDP </w:t>
      </w:r>
      <w:r w:rsidR="007A64DF" w:rsidRPr="003F2C03">
        <w:t xml:space="preserve">will </w:t>
      </w:r>
      <w:r w:rsidR="00C819D8" w:rsidRPr="003F2C03">
        <w:t xml:space="preserve">support </w:t>
      </w:r>
      <w:r w:rsidR="00E75C1A">
        <w:t xml:space="preserve">the </w:t>
      </w:r>
      <w:r w:rsidR="00C819D8" w:rsidRPr="003F2C03">
        <w:t>transition</w:t>
      </w:r>
      <w:r w:rsidR="007A64DF" w:rsidRPr="003F2C03">
        <w:t xml:space="preserve"> t</w:t>
      </w:r>
      <w:r w:rsidR="000E6DEB" w:rsidRPr="003F2C03">
        <w:t>o</w:t>
      </w:r>
      <w:r w:rsidR="007A64DF" w:rsidRPr="003F2C03">
        <w:t xml:space="preserve"> low</w:t>
      </w:r>
      <w:r w:rsidR="005D0DAC">
        <w:t>-</w:t>
      </w:r>
      <w:r w:rsidR="007A64DF" w:rsidRPr="003F2C03">
        <w:t xml:space="preserve">carbon development </w:t>
      </w:r>
      <w:r w:rsidR="000E6DEB" w:rsidRPr="003F2C03">
        <w:t>through</w:t>
      </w:r>
      <w:r w:rsidR="00C819D8">
        <w:t xml:space="preserve"> </w:t>
      </w:r>
      <w:r w:rsidR="007A64DF" w:rsidRPr="003F2C03">
        <w:t>investments in green businesses and jobs</w:t>
      </w:r>
      <w:r w:rsidR="004C13E6" w:rsidRPr="003F2C03">
        <w:t xml:space="preserve">, aiming </w:t>
      </w:r>
      <w:r w:rsidR="00732199" w:rsidRPr="003F2C03">
        <w:t>to create</w:t>
      </w:r>
      <w:r w:rsidR="004C13E6" w:rsidRPr="003F2C03">
        <w:t xml:space="preserve"> better employment opportunities for </w:t>
      </w:r>
      <w:r w:rsidR="000E6DEB" w:rsidRPr="003F2C03">
        <w:t>all.</w:t>
      </w:r>
      <w:r w:rsidR="00F0272F">
        <w:t xml:space="preserve"> </w:t>
      </w:r>
      <w:r w:rsidR="00E51D02" w:rsidRPr="003F2C03">
        <w:t xml:space="preserve">Use of innovative, environmentally friendly and sustainable urban planning </w:t>
      </w:r>
      <w:r w:rsidR="00676881" w:rsidRPr="003F2C03">
        <w:t>is</w:t>
      </w:r>
      <w:r w:rsidR="005E0540" w:rsidRPr="003F2C03">
        <w:t xml:space="preserve"> proposed </w:t>
      </w:r>
      <w:r w:rsidR="00676881" w:rsidRPr="003F2C03">
        <w:t xml:space="preserve">to </w:t>
      </w:r>
      <w:r w:rsidR="00107B3F" w:rsidRPr="003F2C03">
        <w:t>address</w:t>
      </w:r>
      <w:r w:rsidR="00E51D02" w:rsidRPr="003F2C03">
        <w:t xml:space="preserve"> the iss</w:t>
      </w:r>
      <w:r w:rsidR="00676881" w:rsidRPr="003F2C03">
        <w:t>ue of illegal settlements. N</w:t>
      </w:r>
      <w:r w:rsidR="00E51D02" w:rsidRPr="003F2C03">
        <w:t>ational awareness</w:t>
      </w:r>
      <w:r w:rsidR="00676881" w:rsidRPr="003F2C03">
        <w:t xml:space="preserve"> of environmental issues will be increased through</w:t>
      </w:r>
      <w:r w:rsidR="00E51D02" w:rsidRPr="003F2C03">
        <w:t xml:space="preserve"> </w:t>
      </w:r>
      <w:r w:rsidR="004B4840">
        <w:t>preparations of N</w:t>
      </w:r>
      <w:r w:rsidR="00E51D02" w:rsidRPr="003F2C03">
        <w:t xml:space="preserve">ational </w:t>
      </w:r>
      <w:r w:rsidR="004B4840">
        <w:t>C</w:t>
      </w:r>
      <w:r w:rsidR="00E51D02" w:rsidRPr="003F2C03">
        <w:t xml:space="preserve">ommunications </w:t>
      </w:r>
      <w:r w:rsidR="00676881" w:rsidRPr="003F2C03">
        <w:t xml:space="preserve">for </w:t>
      </w:r>
      <w:r w:rsidR="008227E8">
        <w:t>G</w:t>
      </w:r>
      <w:r w:rsidR="00676881" w:rsidRPr="003F2C03">
        <w:t xml:space="preserve">lobal </w:t>
      </w:r>
      <w:r w:rsidR="008227E8">
        <w:t>R</w:t>
      </w:r>
      <w:r w:rsidR="00676881" w:rsidRPr="003F2C03">
        <w:t xml:space="preserve">eporting </w:t>
      </w:r>
      <w:r w:rsidR="00E51D02" w:rsidRPr="003F2C03">
        <w:t>and a range of education and awareness-raising measures</w:t>
      </w:r>
      <w:r w:rsidR="00D873BA" w:rsidRPr="003F2C03">
        <w:t xml:space="preserve"> supported through global environmental funds</w:t>
      </w:r>
      <w:r w:rsidR="00E51D02" w:rsidRPr="003F2C03">
        <w:t xml:space="preserve">. </w:t>
      </w:r>
      <w:r w:rsidR="00E75C1A">
        <w:t>A s</w:t>
      </w:r>
      <w:r w:rsidR="00E51D02" w:rsidRPr="003F2C03">
        <w:t xml:space="preserve">pecific </w:t>
      </w:r>
      <w:r w:rsidR="00E75C1A">
        <w:t>emphasis</w:t>
      </w:r>
      <w:r w:rsidR="00E75C1A" w:rsidRPr="003F2C03">
        <w:t xml:space="preserve"> </w:t>
      </w:r>
      <w:r w:rsidR="00E51D02" w:rsidRPr="003F2C03">
        <w:t xml:space="preserve">will be </w:t>
      </w:r>
      <w:r w:rsidR="00E75C1A">
        <w:t>made on</w:t>
      </w:r>
      <w:r w:rsidR="00676881" w:rsidRPr="003F2C03">
        <w:t xml:space="preserve"> address</w:t>
      </w:r>
      <w:r w:rsidR="00E75C1A">
        <w:t>ing</w:t>
      </w:r>
      <w:r w:rsidR="00E51D02" w:rsidRPr="003F2C03">
        <w:t xml:space="preserve"> environmental protection</w:t>
      </w:r>
      <w:r w:rsidR="00D873BA" w:rsidRPr="003F2C03">
        <w:t xml:space="preserve"> in partnership with the EU</w:t>
      </w:r>
      <w:r w:rsidR="00E51D02" w:rsidRPr="003F2C03">
        <w:t xml:space="preserve"> </w:t>
      </w:r>
      <w:r w:rsidR="00676881" w:rsidRPr="003F2C03">
        <w:t>under</w:t>
      </w:r>
      <w:r w:rsidR="00160795" w:rsidRPr="003F2C03">
        <w:t xml:space="preserve"> </w:t>
      </w:r>
      <w:r w:rsidR="00F44505" w:rsidRPr="003F2C03">
        <w:t>negotiation</w:t>
      </w:r>
      <w:r w:rsidR="00E75C1A">
        <w:t>s on c</w:t>
      </w:r>
      <w:r w:rsidR="00E51D02" w:rsidRPr="003F2C03">
        <w:t xml:space="preserve">hapter 27. </w:t>
      </w:r>
    </w:p>
    <w:p w14:paraId="5A7FB2E5" w14:textId="24D24320" w:rsidR="00E75C1A" w:rsidRPr="00AA7688" w:rsidRDefault="0045642A" w:rsidP="00172FEE">
      <w:pPr>
        <w:pStyle w:val="ListParagraph"/>
        <w:numPr>
          <w:ilvl w:val="0"/>
          <w:numId w:val="45"/>
        </w:numPr>
        <w:tabs>
          <w:tab w:val="left" w:pos="180"/>
          <w:tab w:val="left" w:pos="360"/>
        </w:tabs>
        <w:spacing w:after="120"/>
        <w:ind w:left="-3" w:right="900" w:firstLine="0"/>
        <w:jc w:val="both"/>
        <w:rPr>
          <w:lang w:val="en-GB"/>
        </w:rPr>
      </w:pPr>
      <w:r w:rsidRPr="00AA7688">
        <w:rPr>
          <w:b/>
          <w:i/>
          <w:color w:val="000000" w:themeColor="text1"/>
          <w:lang w:val="en-GB"/>
        </w:rPr>
        <w:t xml:space="preserve">Social </w:t>
      </w:r>
      <w:r w:rsidR="00E75C1A">
        <w:rPr>
          <w:b/>
          <w:i/>
          <w:color w:val="000000" w:themeColor="text1"/>
          <w:lang w:val="en-GB"/>
        </w:rPr>
        <w:t>i</w:t>
      </w:r>
      <w:r w:rsidR="00EC77E9" w:rsidRPr="00AA7688">
        <w:rPr>
          <w:b/>
          <w:i/>
          <w:color w:val="000000" w:themeColor="text1"/>
          <w:lang w:val="en-GB"/>
        </w:rPr>
        <w:t>nclusion:</w:t>
      </w:r>
      <w:r w:rsidR="00783E35" w:rsidRPr="00AA7688">
        <w:rPr>
          <w:b/>
          <w:color w:val="000000" w:themeColor="text1"/>
          <w:lang w:val="en-GB"/>
        </w:rPr>
        <w:t xml:space="preserve"> </w:t>
      </w:r>
      <w:r w:rsidR="00D873BA" w:rsidRPr="003F2C03">
        <w:rPr>
          <w:color w:val="000000" w:themeColor="text1"/>
          <w:lang w:val="en-GB"/>
        </w:rPr>
        <w:t xml:space="preserve">Together with the </w:t>
      </w:r>
      <w:r w:rsidR="00E75C1A">
        <w:rPr>
          <w:color w:val="000000" w:themeColor="text1"/>
          <w:lang w:val="en-GB"/>
        </w:rPr>
        <w:t>G</w:t>
      </w:r>
      <w:r w:rsidR="00D873BA" w:rsidRPr="003F2C03">
        <w:rPr>
          <w:color w:val="000000" w:themeColor="text1"/>
          <w:lang w:val="en-GB"/>
        </w:rPr>
        <w:t xml:space="preserve">overnment and other </w:t>
      </w:r>
      <w:r w:rsidR="00E75C1A">
        <w:rPr>
          <w:color w:val="000000" w:themeColor="text1"/>
          <w:lang w:val="en-GB"/>
        </w:rPr>
        <w:t>United Nations a</w:t>
      </w:r>
      <w:r w:rsidR="00D873BA" w:rsidRPr="00C819D8">
        <w:rPr>
          <w:color w:val="000000" w:themeColor="text1"/>
          <w:lang w:val="en-GB"/>
        </w:rPr>
        <w:t>gencies</w:t>
      </w:r>
      <w:r w:rsidR="00C819D8" w:rsidRPr="00C819D8">
        <w:rPr>
          <w:b/>
          <w:color w:val="000000" w:themeColor="text1"/>
          <w:lang w:val="en-GB"/>
        </w:rPr>
        <w:t>,</w:t>
      </w:r>
      <w:r w:rsidR="00C819D8">
        <w:rPr>
          <w:b/>
          <w:color w:val="000000" w:themeColor="text1"/>
          <w:lang w:val="en-GB"/>
        </w:rPr>
        <w:t xml:space="preserve"> </w:t>
      </w:r>
      <w:r w:rsidR="00E51D02" w:rsidRPr="00C819D8">
        <w:rPr>
          <w:color w:val="000000" w:themeColor="text1"/>
          <w:lang w:val="en-GB"/>
        </w:rPr>
        <w:t>UNDP</w:t>
      </w:r>
      <w:r w:rsidR="00E51D02" w:rsidRPr="003F2C03">
        <w:rPr>
          <w:color w:val="000000" w:themeColor="text1"/>
          <w:lang w:val="en-GB"/>
        </w:rPr>
        <w:t xml:space="preserve"> will ensure that </w:t>
      </w:r>
      <w:r w:rsidR="00E75C1A">
        <w:rPr>
          <w:color w:val="000000" w:themeColor="text1"/>
          <w:lang w:val="en-GB"/>
        </w:rPr>
        <w:t xml:space="preserve">the </w:t>
      </w:r>
      <w:r w:rsidR="00E51D02" w:rsidRPr="003F2C03">
        <w:rPr>
          <w:color w:val="000000" w:themeColor="text1"/>
          <w:lang w:val="en-GB"/>
        </w:rPr>
        <w:t xml:space="preserve">ongoing social sector reform empowers socially excluded groups and improves </w:t>
      </w:r>
      <w:r w:rsidR="00AF6AE2" w:rsidRPr="003F2C03">
        <w:rPr>
          <w:color w:val="000000" w:themeColor="text1"/>
          <w:lang w:val="en-GB"/>
        </w:rPr>
        <w:t xml:space="preserve">the </w:t>
      </w:r>
      <w:r w:rsidR="00E51D02" w:rsidRPr="003F2C03">
        <w:rPr>
          <w:color w:val="000000" w:themeColor="text1"/>
          <w:lang w:val="en-GB"/>
        </w:rPr>
        <w:t>quality of social services</w:t>
      </w:r>
      <w:r w:rsidR="00AF6AE2" w:rsidRPr="003F2C03">
        <w:rPr>
          <w:color w:val="000000" w:themeColor="text1"/>
          <w:lang w:val="en-GB"/>
        </w:rPr>
        <w:t xml:space="preserve"> for</w:t>
      </w:r>
      <w:r w:rsidR="00E51D02" w:rsidRPr="003F2C03">
        <w:rPr>
          <w:color w:val="000000" w:themeColor="text1"/>
          <w:lang w:val="en-GB"/>
        </w:rPr>
        <w:t xml:space="preserve"> populations</w:t>
      </w:r>
      <w:r w:rsidR="00AF6AE2" w:rsidRPr="003F2C03">
        <w:rPr>
          <w:color w:val="000000" w:themeColor="text1"/>
          <w:lang w:val="en-GB"/>
        </w:rPr>
        <w:t xml:space="preserve"> suffering multiple deprivations</w:t>
      </w:r>
      <w:r w:rsidR="000E6DEB" w:rsidRPr="003F2C03">
        <w:rPr>
          <w:color w:val="000000" w:themeColor="text1"/>
          <w:lang w:val="en-GB"/>
        </w:rPr>
        <w:t>.</w:t>
      </w:r>
      <w:r w:rsidR="00C819D8">
        <w:rPr>
          <w:color w:val="000000" w:themeColor="text1"/>
          <w:lang w:val="en-GB"/>
        </w:rPr>
        <w:t xml:space="preserve"> </w:t>
      </w:r>
      <w:r w:rsidR="00E51D02" w:rsidRPr="003F2C03">
        <w:rPr>
          <w:color w:val="000000" w:themeColor="text1"/>
          <w:lang w:val="en-GB"/>
        </w:rPr>
        <w:t xml:space="preserve">Support </w:t>
      </w:r>
      <w:r w:rsidR="00E75C1A">
        <w:rPr>
          <w:color w:val="000000" w:themeColor="text1"/>
          <w:lang w:val="en-GB"/>
        </w:rPr>
        <w:t>for</w:t>
      </w:r>
      <w:r w:rsidR="00E75C1A" w:rsidRPr="003F2C03">
        <w:rPr>
          <w:color w:val="000000" w:themeColor="text1"/>
          <w:lang w:val="en-GB"/>
        </w:rPr>
        <w:t xml:space="preserve"> </w:t>
      </w:r>
      <w:r w:rsidR="00E51D02" w:rsidRPr="003F2C03">
        <w:rPr>
          <w:color w:val="000000" w:themeColor="text1"/>
          <w:lang w:val="en-GB"/>
        </w:rPr>
        <w:t xml:space="preserve">reform and decentralization will </w:t>
      </w:r>
      <w:r w:rsidR="00E75C1A">
        <w:rPr>
          <w:color w:val="000000" w:themeColor="text1"/>
          <w:lang w:val="en-GB"/>
        </w:rPr>
        <w:t>concentrate</w:t>
      </w:r>
      <w:r w:rsidR="00E75C1A" w:rsidRPr="003F2C03">
        <w:rPr>
          <w:color w:val="000000" w:themeColor="text1"/>
          <w:lang w:val="en-GB"/>
        </w:rPr>
        <w:t xml:space="preserve"> </w:t>
      </w:r>
      <w:r w:rsidR="00E51D02" w:rsidRPr="003F2C03">
        <w:rPr>
          <w:color w:val="000000" w:themeColor="text1"/>
          <w:lang w:val="en-GB"/>
        </w:rPr>
        <w:t xml:space="preserve">on </w:t>
      </w:r>
      <w:r w:rsidR="00C819D8" w:rsidRPr="003F2C03">
        <w:rPr>
          <w:color w:val="000000" w:themeColor="text1"/>
          <w:lang w:val="en-GB"/>
        </w:rPr>
        <w:t>strengthening capacities</w:t>
      </w:r>
      <w:r w:rsidR="00E51D02" w:rsidRPr="003F2C03">
        <w:rPr>
          <w:color w:val="000000"/>
        </w:rPr>
        <w:t xml:space="preserve"> of community service </w:t>
      </w:r>
      <w:r w:rsidR="00894167" w:rsidRPr="003F2C03">
        <w:rPr>
          <w:color w:val="000000"/>
        </w:rPr>
        <w:t>providers</w:t>
      </w:r>
      <w:r w:rsidR="00E75C1A">
        <w:rPr>
          <w:color w:val="000000"/>
        </w:rPr>
        <w:t xml:space="preserve"> and</w:t>
      </w:r>
      <w:r w:rsidR="005F466E" w:rsidRPr="003F2C03">
        <w:rPr>
          <w:color w:val="000000"/>
        </w:rPr>
        <w:t xml:space="preserve"> </w:t>
      </w:r>
      <w:r w:rsidR="00C819D8" w:rsidRPr="003F2C03">
        <w:rPr>
          <w:color w:val="000000"/>
        </w:rPr>
        <w:t>introduc</w:t>
      </w:r>
      <w:r w:rsidR="00E75C1A">
        <w:rPr>
          <w:color w:val="000000"/>
        </w:rPr>
        <w:t>ing</w:t>
      </w:r>
      <w:r w:rsidR="00C819D8" w:rsidRPr="003F2C03">
        <w:rPr>
          <w:color w:val="000000"/>
        </w:rPr>
        <w:t xml:space="preserve"> and</w:t>
      </w:r>
      <w:r w:rsidR="005F466E" w:rsidRPr="003F2C03">
        <w:rPr>
          <w:color w:val="000000"/>
        </w:rPr>
        <w:t xml:space="preserve"> scal</w:t>
      </w:r>
      <w:r w:rsidR="00732199" w:rsidRPr="003F2C03">
        <w:rPr>
          <w:color w:val="000000"/>
        </w:rPr>
        <w:t>ing</w:t>
      </w:r>
      <w:r w:rsidR="005F466E" w:rsidRPr="003F2C03">
        <w:rPr>
          <w:color w:val="000000"/>
        </w:rPr>
        <w:t xml:space="preserve"> up </w:t>
      </w:r>
      <w:r w:rsidR="00E51D02" w:rsidRPr="003F2C03">
        <w:rPr>
          <w:color w:val="000000"/>
        </w:rPr>
        <w:t xml:space="preserve">innovative social services. </w:t>
      </w:r>
      <w:r w:rsidR="00AF6AE2" w:rsidRPr="003F2C03">
        <w:rPr>
          <w:color w:val="000000"/>
        </w:rPr>
        <w:t>The normative</w:t>
      </w:r>
      <w:r w:rsidR="00E75C1A">
        <w:rPr>
          <w:color w:val="000000"/>
        </w:rPr>
        <w:t xml:space="preserve"> </w:t>
      </w:r>
      <w:r w:rsidR="00894167" w:rsidRPr="003F2C03">
        <w:rPr>
          <w:color w:val="000000"/>
        </w:rPr>
        <w:t>framework</w:t>
      </w:r>
      <w:r w:rsidR="00AF6AE2" w:rsidRPr="003F2C03">
        <w:rPr>
          <w:color w:val="000000"/>
        </w:rPr>
        <w:t xml:space="preserve"> will be improved to ensure consistent</w:t>
      </w:r>
      <w:r w:rsidR="00E51D02" w:rsidRPr="003F2C03">
        <w:rPr>
          <w:color w:val="000000"/>
        </w:rPr>
        <w:t xml:space="preserve"> </w:t>
      </w:r>
      <w:r w:rsidR="00E75C1A">
        <w:rPr>
          <w:color w:val="000000"/>
        </w:rPr>
        <w:t xml:space="preserve">provision </w:t>
      </w:r>
      <w:r w:rsidR="00E51D02" w:rsidRPr="003F2C03">
        <w:rPr>
          <w:color w:val="000000"/>
        </w:rPr>
        <w:t xml:space="preserve">of </w:t>
      </w:r>
      <w:r w:rsidR="00E75C1A">
        <w:rPr>
          <w:color w:val="000000"/>
        </w:rPr>
        <w:t>quality</w:t>
      </w:r>
      <w:r w:rsidR="00E51D02" w:rsidRPr="003F2C03">
        <w:rPr>
          <w:color w:val="000000"/>
        </w:rPr>
        <w:t xml:space="preserve"> social services across the country, </w:t>
      </w:r>
      <w:r w:rsidR="00E75C1A">
        <w:rPr>
          <w:color w:val="000000"/>
        </w:rPr>
        <w:t xml:space="preserve">informed by human rights principles and </w:t>
      </w:r>
      <w:r w:rsidR="00E51D02" w:rsidRPr="003F2C03">
        <w:rPr>
          <w:color w:val="000000"/>
        </w:rPr>
        <w:t xml:space="preserve">contributing to reducing inequalities and discrimination. </w:t>
      </w:r>
      <w:r w:rsidR="00AF6AE2" w:rsidRPr="003F2C03">
        <w:rPr>
          <w:color w:val="000000" w:themeColor="text1"/>
          <w:lang w:val="en-GB"/>
        </w:rPr>
        <w:t xml:space="preserve">A </w:t>
      </w:r>
      <w:r w:rsidR="00E51D02" w:rsidRPr="003F2C03">
        <w:rPr>
          <w:color w:val="000000" w:themeColor="text1"/>
          <w:lang w:val="en-GB"/>
        </w:rPr>
        <w:t>case management system</w:t>
      </w:r>
      <w:r w:rsidR="00AF6AE2" w:rsidRPr="003F2C03">
        <w:rPr>
          <w:color w:val="000000" w:themeColor="text1"/>
          <w:lang w:val="en-GB"/>
        </w:rPr>
        <w:t xml:space="preserve"> </w:t>
      </w:r>
      <w:r w:rsidR="00E51D02" w:rsidRPr="003F2C03">
        <w:rPr>
          <w:color w:val="000000" w:themeColor="text1"/>
          <w:lang w:val="en-GB"/>
        </w:rPr>
        <w:t xml:space="preserve">will be fully </w:t>
      </w:r>
      <w:r w:rsidR="0077058F" w:rsidRPr="003F2C03">
        <w:rPr>
          <w:color w:val="000000" w:themeColor="text1"/>
          <w:lang w:val="en-GB"/>
        </w:rPr>
        <w:t>introduced</w:t>
      </w:r>
      <w:r w:rsidR="00E51D02" w:rsidRPr="003F2C03">
        <w:rPr>
          <w:color w:val="000000" w:themeColor="text1"/>
          <w:lang w:val="en-GB"/>
        </w:rPr>
        <w:t xml:space="preserve">. </w:t>
      </w:r>
    </w:p>
    <w:p w14:paraId="5DD2DF4B" w14:textId="0B513778" w:rsidR="00B13C89" w:rsidRPr="003F2C03" w:rsidRDefault="00E51D02" w:rsidP="00172FEE">
      <w:pPr>
        <w:pStyle w:val="ListParagraph"/>
        <w:numPr>
          <w:ilvl w:val="0"/>
          <w:numId w:val="45"/>
        </w:numPr>
        <w:tabs>
          <w:tab w:val="left" w:pos="180"/>
          <w:tab w:val="left" w:pos="360"/>
        </w:tabs>
        <w:spacing w:after="120"/>
        <w:ind w:left="-3" w:right="900" w:firstLine="0"/>
        <w:jc w:val="both"/>
        <w:rPr>
          <w:lang w:val="en-GB"/>
        </w:rPr>
      </w:pPr>
      <w:r w:rsidRPr="003F2C03">
        <w:rPr>
          <w:color w:val="000000"/>
        </w:rPr>
        <w:t xml:space="preserve">With the application of cutting-edge ICT solutions and improved </w:t>
      </w:r>
      <w:r w:rsidR="00E75C1A">
        <w:rPr>
          <w:color w:val="000000"/>
        </w:rPr>
        <w:t>information technology</w:t>
      </w:r>
      <w:r w:rsidR="00E75C1A" w:rsidRPr="003F2C03">
        <w:rPr>
          <w:color w:val="000000"/>
        </w:rPr>
        <w:t xml:space="preserve"> </w:t>
      </w:r>
      <w:r w:rsidRPr="003F2C03">
        <w:rPr>
          <w:color w:val="000000"/>
        </w:rPr>
        <w:t xml:space="preserve">infrastructure, </w:t>
      </w:r>
      <w:r w:rsidR="00E75C1A">
        <w:rPr>
          <w:color w:val="000000"/>
        </w:rPr>
        <w:t>the i</w:t>
      </w:r>
      <w:r w:rsidRPr="003F2C03">
        <w:rPr>
          <w:rFonts w:eastAsiaTheme="minorHAnsi"/>
        </w:rPr>
        <w:t xml:space="preserve">ntegrated </w:t>
      </w:r>
      <w:r w:rsidR="00E75C1A">
        <w:rPr>
          <w:rFonts w:eastAsiaTheme="minorHAnsi"/>
        </w:rPr>
        <w:t>s</w:t>
      </w:r>
      <w:r w:rsidRPr="003F2C03">
        <w:rPr>
          <w:rFonts w:eastAsiaTheme="minorHAnsi"/>
        </w:rPr>
        <w:t xml:space="preserve">ocial </w:t>
      </w:r>
      <w:r w:rsidR="00E75C1A">
        <w:rPr>
          <w:rFonts w:eastAsiaTheme="minorHAnsi"/>
        </w:rPr>
        <w:t>w</w:t>
      </w:r>
      <w:r w:rsidRPr="003F2C03">
        <w:rPr>
          <w:rFonts w:eastAsiaTheme="minorHAnsi"/>
        </w:rPr>
        <w:t xml:space="preserve">elfare </w:t>
      </w:r>
      <w:r w:rsidR="00E75C1A">
        <w:rPr>
          <w:rFonts w:eastAsiaTheme="minorHAnsi"/>
        </w:rPr>
        <w:t>i</w:t>
      </w:r>
      <w:r w:rsidRPr="003F2C03">
        <w:rPr>
          <w:rFonts w:eastAsiaTheme="minorHAnsi"/>
        </w:rPr>
        <w:t xml:space="preserve">nformation </w:t>
      </w:r>
      <w:r w:rsidR="00E75C1A">
        <w:rPr>
          <w:rFonts w:eastAsiaTheme="minorHAnsi"/>
        </w:rPr>
        <w:t>s</w:t>
      </w:r>
      <w:r w:rsidRPr="003F2C03">
        <w:rPr>
          <w:rFonts w:eastAsiaTheme="minorHAnsi"/>
        </w:rPr>
        <w:t xml:space="preserve">ystem will be further enhanced to enable community services providers to </w:t>
      </w:r>
      <w:r w:rsidR="00BD61E0" w:rsidRPr="003F2C03">
        <w:rPr>
          <w:rFonts w:eastAsiaTheme="minorHAnsi"/>
        </w:rPr>
        <w:t>link with</w:t>
      </w:r>
      <w:r w:rsidRPr="003F2C03">
        <w:rPr>
          <w:rFonts w:eastAsiaTheme="minorHAnsi"/>
        </w:rPr>
        <w:t xml:space="preserve"> </w:t>
      </w:r>
      <w:r w:rsidR="005D0DAC">
        <w:rPr>
          <w:rFonts w:eastAsiaTheme="minorHAnsi"/>
        </w:rPr>
        <w:t xml:space="preserve">the </w:t>
      </w:r>
      <w:r w:rsidRPr="003F2C03">
        <w:rPr>
          <w:rFonts w:eastAsiaTheme="minorHAnsi"/>
        </w:rPr>
        <w:t>social welfare system and cash transfers</w:t>
      </w:r>
      <w:r w:rsidR="00E75C1A">
        <w:rPr>
          <w:rFonts w:eastAsiaTheme="minorHAnsi"/>
        </w:rPr>
        <w:t xml:space="preserve">. The goal is </w:t>
      </w:r>
      <w:r w:rsidRPr="003F2C03">
        <w:rPr>
          <w:rFonts w:eastAsiaTheme="minorHAnsi"/>
        </w:rPr>
        <w:t xml:space="preserve">to improve targeting of </w:t>
      </w:r>
      <w:r w:rsidRPr="003F2C03">
        <w:t xml:space="preserve">men and women </w:t>
      </w:r>
      <w:r w:rsidRPr="003F2C03">
        <w:rPr>
          <w:rFonts w:eastAsiaTheme="minorHAnsi"/>
        </w:rPr>
        <w:t>beneficiaries and</w:t>
      </w:r>
      <w:r w:rsidR="0088300F" w:rsidRPr="003F2C03">
        <w:rPr>
          <w:rFonts w:eastAsiaTheme="minorHAnsi"/>
        </w:rPr>
        <w:t xml:space="preserve"> reduce exclusion errors. </w:t>
      </w:r>
      <w:r w:rsidR="003D591A" w:rsidRPr="003F2C03">
        <w:t>T</w:t>
      </w:r>
      <w:r w:rsidRPr="003F2C03">
        <w:t>ogether with</w:t>
      </w:r>
      <w:r w:rsidR="00D05979" w:rsidRPr="003F2C03">
        <w:t xml:space="preserve"> </w:t>
      </w:r>
      <w:r w:rsidR="00E75C1A">
        <w:t>other United Nations a</w:t>
      </w:r>
      <w:r w:rsidRPr="003F2C03">
        <w:t>gencies and local public institutions</w:t>
      </w:r>
      <w:r w:rsidR="003D591A" w:rsidRPr="003F2C03">
        <w:t>, UNDP will</w:t>
      </w:r>
      <w:r w:rsidRPr="003F2C03">
        <w:t xml:space="preserve"> improve multidisciplinary support to women victims of violence</w:t>
      </w:r>
      <w:r w:rsidR="00E75C1A">
        <w:t>,</w:t>
      </w:r>
      <w:r w:rsidRPr="003F2C03">
        <w:t xml:space="preserve"> including</w:t>
      </w:r>
      <w:r w:rsidR="003D591A" w:rsidRPr="003F2C03">
        <w:t xml:space="preserve"> through</w:t>
      </w:r>
      <w:r w:rsidRPr="003F2C03">
        <w:t xml:space="preserve"> raising awareness</w:t>
      </w:r>
      <w:r w:rsidR="00EC0AE1" w:rsidRPr="003F2C03">
        <w:t xml:space="preserve"> and</w:t>
      </w:r>
      <w:r w:rsidRPr="003F2C03">
        <w:t xml:space="preserve"> strengthening protection mechanisms. </w:t>
      </w:r>
    </w:p>
    <w:p w14:paraId="4348AED1" w14:textId="14F3A057" w:rsidR="00B13C89" w:rsidRPr="003F2C03" w:rsidRDefault="00803FEB" w:rsidP="00172FEE">
      <w:pPr>
        <w:pStyle w:val="ListParagraph"/>
        <w:numPr>
          <w:ilvl w:val="0"/>
          <w:numId w:val="45"/>
        </w:numPr>
        <w:tabs>
          <w:tab w:val="left" w:pos="180"/>
          <w:tab w:val="left" w:pos="360"/>
        </w:tabs>
        <w:spacing w:after="120"/>
        <w:ind w:left="-3" w:right="900" w:firstLine="0"/>
        <w:jc w:val="both"/>
        <w:rPr>
          <w:lang w:val="en-GB"/>
        </w:rPr>
      </w:pPr>
      <w:r w:rsidRPr="00AA7688">
        <w:rPr>
          <w:b/>
          <w:i/>
          <w:color w:val="000000" w:themeColor="text1"/>
          <w:lang w:val="en-GB"/>
        </w:rPr>
        <w:t>Economic development</w:t>
      </w:r>
      <w:r w:rsidR="00783E35" w:rsidRPr="003F2C03">
        <w:rPr>
          <w:color w:val="000000" w:themeColor="text1"/>
          <w:lang w:val="en-GB"/>
        </w:rPr>
        <w:t>:</w:t>
      </w:r>
      <w:r w:rsidR="00E51D02" w:rsidRPr="003F2C03">
        <w:rPr>
          <w:color w:val="000000" w:themeColor="text1"/>
          <w:lang w:val="en-GB"/>
        </w:rPr>
        <w:t xml:space="preserve"> </w:t>
      </w:r>
      <w:r w:rsidR="007A64DF" w:rsidRPr="003F2C03">
        <w:rPr>
          <w:color w:val="000000" w:themeColor="text1"/>
          <w:lang w:val="en-GB"/>
        </w:rPr>
        <w:t>UNDP will support the Government in implementing economic reforms</w:t>
      </w:r>
      <w:r w:rsidR="00E75C1A">
        <w:rPr>
          <w:color w:val="000000" w:themeColor="text1"/>
          <w:lang w:val="en-GB"/>
        </w:rPr>
        <w:t>;</w:t>
      </w:r>
      <w:r w:rsidR="007A64DF" w:rsidRPr="003F2C03">
        <w:rPr>
          <w:color w:val="000000" w:themeColor="text1"/>
          <w:lang w:val="en-GB"/>
        </w:rPr>
        <w:t xml:space="preserve"> improving the regulatory framework and business climate to encourage sustainable investments </w:t>
      </w:r>
      <w:r w:rsidR="00EC0AE1" w:rsidRPr="003F2C03">
        <w:rPr>
          <w:color w:val="000000" w:themeColor="text1"/>
          <w:lang w:val="en-GB"/>
        </w:rPr>
        <w:t xml:space="preserve">and improved </w:t>
      </w:r>
      <w:r w:rsidR="007A64DF" w:rsidRPr="003F2C03">
        <w:rPr>
          <w:color w:val="000000" w:themeColor="text1"/>
          <w:lang w:val="en-GB"/>
        </w:rPr>
        <w:t>competitiveness</w:t>
      </w:r>
      <w:r w:rsidR="00E75C1A">
        <w:rPr>
          <w:color w:val="000000" w:themeColor="text1"/>
          <w:lang w:val="en-GB"/>
        </w:rPr>
        <w:t>;</w:t>
      </w:r>
      <w:r w:rsidR="007A64DF" w:rsidRPr="003F2C03">
        <w:rPr>
          <w:color w:val="000000" w:themeColor="text1"/>
          <w:lang w:val="en-GB"/>
        </w:rPr>
        <w:t xml:space="preserve"> and reduc</w:t>
      </w:r>
      <w:r w:rsidR="005D0DAC">
        <w:rPr>
          <w:color w:val="000000" w:themeColor="text1"/>
          <w:lang w:val="en-GB"/>
        </w:rPr>
        <w:t>ing</w:t>
      </w:r>
      <w:r w:rsidR="007A64DF" w:rsidRPr="003F2C03">
        <w:rPr>
          <w:color w:val="000000" w:themeColor="text1"/>
          <w:lang w:val="en-GB"/>
        </w:rPr>
        <w:t xml:space="preserve"> regional inequalities</w:t>
      </w:r>
      <w:r w:rsidR="00E75C1A">
        <w:rPr>
          <w:color w:val="000000" w:themeColor="text1"/>
          <w:lang w:val="en-GB"/>
        </w:rPr>
        <w:t>. This will</w:t>
      </w:r>
      <w:r w:rsidR="007A64DF" w:rsidRPr="003F2C03">
        <w:rPr>
          <w:color w:val="000000" w:themeColor="text1"/>
          <w:lang w:val="en-GB"/>
        </w:rPr>
        <w:t xml:space="preserve"> focus on </w:t>
      </w:r>
      <w:r w:rsidR="00EC0AE1" w:rsidRPr="003F2C03">
        <w:rPr>
          <w:color w:val="000000" w:themeColor="text1"/>
          <w:lang w:val="en-GB"/>
        </w:rPr>
        <w:lastRenderedPageBreak/>
        <w:t xml:space="preserve">the </w:t>
      </w:r>
      <w:r w:rsidR="007A64DF" w:rsidRPr="003F2C03">
        <w:rPr>
          <w:color w:val="000000" w:themeColor="text1"/>
          <w:lang w:val="en-GB"/>
        </w:rPr>
        <w:t>green economy</w:t>
      </w:r>
      <w:r w:rsidR="00E75C1A">
        <w:rPr>
          <w:color w:val="000000" w:themeColor="text1"/>
          <w:lang w:val="en-GB"/>
        </w:rPr>
        <w:t>,</w:t>
      </w:r>
      <w:r w:rsidR="007A64DF" w:rsidRPr="003F2C03">
        <w:rPr>
          <w:color w:val="000000" w:themeColor="text1"/>
          <w:lang w:val="en-GB"/>
        </w:rPr>
        <w:t xml:space="preserve"> promoting low</w:t>
      </w:r>
      <w:r w:rsidR="00E75C1A">
        <w:rPr>
          <w:color w:val="000000" w:themeColor="text1"/>
          <w:lang w:val="en-GB"/>
        </w:rPr>
        <w:t>-</w:t>
      </w:r>
      <w:r w:rsidR="007A64DF" w:rsidRPr="003F2C03">
        <w:rPr>
          <w:color w:val="000000" w:themeColor="text1"/>
          <w:lang w:val="en-GB"/>
        </w:rPr>
        <w:t xml:space="preserve">carbon economic investments, green businesses and green jobs. </w:t>
      </w:r>
      <w:r w:rsidR="00E51D02" w:rsidRPr="003F2C03">
        <w:rPr>
          <w:color w:val="000000" w:themeColor="text1"/>
          <w:lang w:val="en-GB"/>
        </w:rPr>
        <w:t xml:space="preserve">Support to economic development will be continued through: </w:t>
      </w:r>
      <w:r w:rsidR="00E75C1A">
        <w:rPr>
          <w:color w:val="000000" w:themeColor="text1"/>
          <w:lang w:val="en-GB"/>
        </w:rPr>
        <w:t>(a</w:t>
      </w:r>
      <w:r w:rsidR="00E51D02" w:rsidRPr="003F2C03">
        <w:rPr>
          <w:color w:val="000000" w:themeColor="text1"/>
          <w:lang w:val="en-GB"/>
        </w:rPr>
        <w:t>)</w:t>
      </w:r>
      <w:r w:rsidR="0088300F" w:rsidRPr="003F2C03">
        <w:rPr>
          <w:color w:val="000000" w:themeColor="text1"/>
          <w:lang w:val="en-GB"/>
        </w:rPr>
        <w:t xml:space="preserve"> technical advice in advancing</w:t>
      </w:r>
      <w:r w:rsidR="00CB7568" w:rsidRPr="003F2C03">
        <w:rPr>
          <w:color w:val="000000" w:themeColor="text1"/>
          <w:lang w:val="en-GB"/>
        </w:rPr>
        <w:t xml:space="preserve"> economic reforms</w:t>
      </w:r>
      <w:r w:rsidR="00E51D02" w:rsidRPr="003F2C03">
        <w:rPr>
          <w:color w:val="000000" w:themeColor="text1"/>
          <w:lang w:val="en-GB"/>
        </w:rPr>
        <w:t xml:space="preserve">; </w:t>
      </w:r>
      <w:r w:rsidR="00E75C1A">
        <w:rPr>
          <w:color w:val="000000" w:themeColor="text1"/>
          <w:lang w:val="en-GB"/>
        </w:rPr>
        <w:t>(b</w:t>
      </w:r>
      <w:r w:rsidR="00E51D02" w:rsidRPr="003F2C03">
        <w:rPr>
          <w:color w:val="000000" w:themeColor="text1"/>
          <w:lang w:val="en-GB"/>
        </w:rPr>
        <w:t>) advocacy and policy advice for development of micro, small and medium sized enterprise</w:t>
      </w:r>
      <w:r w:rsidR="00E75C1A">
        <w:rPr>
          <w:color w:val="000000" w:themeColor="text1"/>
          <w:lang w:val="en-GB"/>
        </w:rPr>
        <w:t xml:space="preserve">s </w:t>
      </w:r>
      <w:r w:rsidR="0088300F" w:rsidRPr="003F2C03">
        <w:rPr>
          <w:color w:val="000000" w:themeColor="text1"/>
          <w:lang w:val="en-GB"/>
        </w:rPr>
        <w:t>(SME</w:t>
      </w:r>
      <w:r w:rsidR="00E75C1A">
        <w:rPr>
          <w:color w:val="000000" w:themeColor="text1"/>
          <w:lang w:val="en-GB"/>
        </w:rPr>
        <w:t>s</w:t>
      </w:r>
      <w:r w:rsidR="0088300F" w:rsidRPr="003F2C03">
        <w:rPr>
          <w:color w:val="000000" w:themeColor="text1"/>
          <w:lang w:val="en-GB"/>
        </w:rPr>
        <w:t>)</w:t>
      </w:r>
      <w:r w:rsidR="00E51D02" w:rsidRPr="003F2C03">
        <w:rPr>
          <w:color w:val="000000" w:themeColor="text1"/>
          <w:lang w:val="en-GB"/>
        </w:rPr>
        <w:t xml:space="preserve">; </w:t>
      </w:r>
      <w:r w:rsidR="00E75C1A">
        <w:rPr>
          <w:color w:val="000000" w:themeColor="text1"/>
          <w:lang w:val="en-GB"/>
        </w:rPr>
        <w:t>(c</w:t>
      </w:r>
      <w:r w:rsidR="0088300F" w:rsidRPr="003F2C03">
        <w:rPr>
          <w:color w:val="000000" w:themeColor="text1"/>
          <w:lang w:val="en-GB"/>
        </w:rPr>
        <w:t>) promotion of local SME cluster</w:t>
      </w:r>
      <w:r w:rsidR="00E51D02" w:rsidRPr="003F2C03">
        <w:rPr>
          <w:color w:val="000000" w:themeColor="text1"/>
          <w:lang w:val="en-GB"/>
        </w:rPr>
        <w:t xml:space="preserve"> development</w:t>
      </w:r>
      <w:r w:rsidR="00E75C1A">
        <w:rPr>
          <w:color w:val="000000" w:themeColor="text1"/>
          <w:lang w:val="en-GB"/>
        </w:rPr>
        <w:t>;</w:t>
      </w:r>
      <w:r w:rsidR="00E51D02" w:rsidRPr="003F2C03">
        <w:rPr>
          <w:color w:val="000000" w:themeColor="text1"/>
          <w:lang w:val="en-GB"/>
        </w:rPr>
        <w:t xml:space="preserve"> </w:t>
      </w:r>
      <w:r w:rsidR="00E75C1A">
        <w:rPr>
          <w:color w:val="000000" w:themeColor="text1"/>
          <w:lang w:val="en-GB"/>
        </w:rPr>
        <w:t>(d</w:t>
      </w:r>
      <w:r w:rsidR="00E51D02" w:rsidRPr="003F2C03">
        <w:rPr>
          <w:color w:val="000000" w:themeColor="text1"/>
          <w:lang w:val="en-GB"/>
        </w:rPr>
        <w:t xml:space="preserve">) </w:t>
      </w:r>
      <w:r w:rsidR="00CB7568" w:rsidRPr="003F2C03">
        <w:rPr>
          <w:color w:val="000000" w:themeColor="text1"/>
          <w:lang w:val="en-GB"/>
        </w:rPr>
        <w:t>creati</w:t>
      </w:r>
      <w:r w:rsidR="00E75C1A">
        <w:rPr>
          <w:color w:val="000000" w:themeColor="text1"/>
          <w:lang w:val="en-GB"/>
        </w:rPr>
        <w:t>on of</w:t>
      </w:r>
      <w:r w:rsidR="00CB7568" w:rsidRPr="003F2C03">
        <w:rPr>
          <w:color w:val="000000" w:themeColor="text1"/>
          <w:lang w:val="en-GB"/>
        </w:rPr>
        <w:t xml:space="preserve"> </w:t>
      </w:r>
      <w:r w:rsidR="0088300F" w:rsidRPr="003F2C03">
        <w:rPr>
          <w:color w:val="000000" w:themeColor="text1"/>
          <w:lang w:val="en-GB"/>
        </w:rPr>
        <w:t xml:space="preserve">an </w:t>
      </w:r>
      <w:r w:rsidR="00CB7568" w:rsidRPr="003F2C03">
        <w:rPr>
          <w:color w:val="000000" w:themeColor="text1"/>
          <w:lang w:val="en-GB"/>
        </w:rPr>
        <w:t xml:space="preserve">enabling environment for women’s entrepreneurial </w:t>
      </w:r>
      <w:r w:rsidR="0018433B" w:rsidRPr="003F2C03">
        <w:rPr>
          <w:color w:val="000000" w:themeColor="text1"/>
          <w:lang w:val="en-GB"/>
        </w:rPr>
        <w:t>development</w:t>
      </w:r>
      <w:r w:rsidR="00CD1083" w:rsidRPr="003F2C03">
        <w:rPr>
          <w:color w:val="000000" w:themeColor="text1"/>
          <w:lang w:val="en-GB"/>
        </w:rPr>
        <w:t xml:space="preserve">; </w:t>
      </w:r>
      <w:r w:rsidR="00E75C1A">
        <w:rPr>
          <w:color w:val="000000" w:themeColor="text1"/>
          <w:lang w:val="en-GB"/>
        </w:rPr>
        <w:t>and (e</w:t>
      </w:r>
      <w:r w:rsidR="00CD1083" w:rsidRPr="003F2C03">
        <w:rPr>
          <w:color w:val="000000" w:themeColor="text1"/>
          <w:lang w:val="en-GB"/>
        </w:rPr>
        <w:t>) stronger partnership</w:t>
      </w:r>
      <w:r w:rsidR="00E75C1A">
        <w:rPr>
          <w:color w:val="000000" w:themeColor="text1"/>
          <w:lang w:val="en-GB"/>
        </w:rPr>
        <w:t>s</w:t>
      </w:r>
      <w:r w:rsidR="00CD1083" w:rsidRPr="003F2C03">
        <w:rPr>
          <w:color w:val="000000" w:themeColor="text1"/>
          <w:lang w:val="en-GB"/>
        </w:rPr>
        <w:t xml:space="preserve"> with the private sector</w:t>
      </w:r>
      <w:r w:rsidR="00EC0AE1" w:rsidRPr="003F2C03">
        <w:rPr>
          <w:color w:val="000000" w:themeColor="text1"/>
          <w:lang w:val="en-GB"/>
        </w:rPr>
        <w:t>.</w:t>
      </w:r>
      <w:r w:rsidR="004C13E6" w:rsidRPr="003F2C03">
        <w:rPr>
          <w:color w:val="000000" w:themeColor="text1"/>
          <w:lang w:val="en-GB"/>
        </w:rPr>
        <w:t xml:space="preserve"> </w:t>
      </w:r>
      <w:r w:rsidR="00E51D02" w:rsidRPr="003F2C03">
        <w:rPr>
          <w:color w:val="000000" w:themeColor="text1"/>
          <w:lang w:val="en-GB"/>
        </w:rPr>
        <w:t>Local capacities will be strengthened</w:t>
      </w:r>
      <w:r w:rsidR="0088300F" w:rsidRPr="003F2C03">
        <w:rPr>
          <w:color w:val="000000" w:themeColor="text1"/>
          <w:lang w:val="en-GB"/>
        </w:rPr>
        <w:t xml:space="preserve"> for developing and managing</w:t>
      </w:r>
      <w:r w:rsidR="00E51D02" w:rsidRPr="003F2C03">
        <w:rPr>
          <w:color w:val="000000" w:themeColor="text1"/>
          <w:lang w:val="en-GB"/>
        </w:rPr>
        <w:t xml:space="preserve"> national/municipal business zones. Job creation will remain one of UNDP</w:t>
      </w:r>
      <w:r w:rsidR="002D2460">
        <w:rPr>
          <w:color w:val="000000" w:themeColor="text1"/>
          <w:lang w:val="en-GB"/>
        </w:rPr>
        <w:t>’s</w:t>
      </w:r>
      <w:r w:rsidR="00E51D02" w:rsidRPr="003F2C03">
        <w:rPr>
          <w:color w:val="000000" w:themeColor="text1"/>
          <w:lang w:val="en-GB"/>
        </w:rPr>
        <w:t xml:space="preserve"> priorities</w:t>
      </w:r>
      <w:r w:rsidR="002D2460">
        <w:rPr>
          <w:color w:val="000000" w:themeColor="text1"/>
          <w:lang w:val="en-GB"/>
        </w:rPr>
        <w:t>,</w:t>
      </w:r>
      <w:r w:rsidR="00E51D02" w:rsidRPr="003F2C03">
        <w:rPr>
          <w:color w:val="000000" w:themeColor="text1"/>
          <w:lang w:val="en-GB"/>
        </w:rPr>
        <w:t xml:space="preserve"> especially </w:t>
      </w:r>
      <w:r w:rsidR="002D2460">
        <w:rPr>
          <w:color w:val="000000" w:themeColor="text1"/>
          <w:lang w:val="en-GB"/>
        </w:rPr>
        <w:t xml:space="preserve">in terms of </w:t>
      </w:r>
      <w:r w:rsidR="00E51D02" w:rsidRPr="003F2C03">
        <w:rPr>
          <w:color w:val="000000" w:themeColor="text1"/>
          <w:lang w:val="en-GB"/>
        </w:rPr>
        <w:t xml:space="preserve">raising the employability of vulnerable groups through </w:t>
      </w:r>
      <w:r w:rsidR="0088300F" w:rsidRPr="003F2C03">
        <w:rPr>
          <w:color w:val="000000" w:themeColor="text1"/>
          <w:lang w:val="en-GB"/>
        </w:rPr>
        <w:t>social assistance and</w:t>
      </w:r>
      <w:r w:rsidR="00E51D02" w:rsidRPr="003F2C03">
        <w:rPr>
          <w:color w:val="000000" w:themeColor="text1"/>
          <w:lang w:val="en-GB"/>
        </w:rPr>
        <w:t xml:space="preserve"> promoting bet</w:t>
      </w:r>
      <w:r w:rsidR="0088300F" w:rsidRPr="003F2C03">
        <w:rPr>
          <w:color w:val="000000" w:themeColor="text1"/>
          <w:lang w:val="en-GB"/>
        </w:rPr>
        <w:t>ter employment opportunities and skills development for</w:t>
      </w:r>
      <w:r w:rsidR="00E51D02" w:rsidRPr="003F2C03">
        <w:rPr>
          <w:color w:val="000000" w:themeColor="text1"/>
          <w:lang w:val="en-GB"/>
        </w:rPr>
        <w:t xml:space="preserve"> Roma, youth </w:t>
      </w:r>
      <w:r w:rsidR="000B76FE" w:rsidRPr="003F2C03">
        <w:rPr>
          <w:color w:val="000000" w:themeColor="text1"/>
          <w:lang w:val="en-GB"/>
        </w:rPr>
        <w:t xml:space="preserve">and </w:t>
      </w:r>
      <w:r w:rsidR="002D2460">
        <w:rPr>
          <w:color w:val="000000" w:themeColor="text1"/>
          <w:lang w:val="en-GB"/>
        </w:rPr>
        <w:t>people suffering from</w:t>
      </w:r>
      <w:r w:rsidR="000B76FE" w:rsidRPr="003F2C03">
        <w:rPr>
          <w:color w:val="000000" w:themeColor="text1"/>
          <w:lang w:val="en-GB"/>
        </w:rPr>
        <w:t xml:space="preserve"> </w:t>
      </w:r>
      <w:r w:rsidR="00E51D02" w:rsidRPr="003F2C03">
        <w:rPr>
          <w:color w:val="000000" w:themeColor="text1"/>
          <w:lang w:val="en-GB"/>
        </w:rPr>
        <w:t>long</w:t>
      </w:r>
      <w:r w:rsidR="002D2460">
        <w:rPr>
          <w:color w:val="000000" w:themeColor="text1"/>
          <w:lang w:val="en-GB"/>
        </w:rPr>
        <w:t>-</w:t>
      </w:r>
      <w:r w:rsidR="00E51D02" w:rsidRPr="003F2C03">
        <w:rPr>
          <w:color w:val="000000" w:themeColor="text1"/>
          <w:lang w:val="en-GB"/>
        </w:rPr>
        <w:t>term unemploy</w:t>
      </w:r>
      <w:r w:rsidR="002D2460">
        <w:rPr>
          <w:color w:val="000000" w:themeColor="text1"/>
          <w:lang w:val="en-GB"/>
        </w:rPr>
        <w:t>ment</w:t>
      </w:r>
      <w:r w:rsidR="00E51D02" w:rsidRPr="003F2C03">
        <w:rPr>
          <w:color w:val="000000" w:themeColor="text1"/>
          <w:lang w:val="en-GB"/>
        </w:rPr>
        <w:t xml:space="preserve">. </w:t>
      </w:r>
      <w:r w:rsidR="002D2460">
        <w:rPr>
          <w:color w:val="000000" w:themeColor="text1"/>
          <w:lang w:val="en-GB"/>
        </w:rPr>
        <w:t>UNDP will support the g</w:t>
      </w:r>
      <w:r w:rsidR="00E51D02" w:rsidRPr="003F2C03">
        <w:rPr>
          <w:color w:val="000000" w:themeColor="text1"/>
          <w:lang w:val="en-GB"/>
        </w:rPr>
        <w:t xml:space="preserve">radual transition of informal economic activities into </w:t>
      </w:r>
      <w:r w:rsidR="00EC0AE1" w:rsidRPr="003F2C03">
        <w:rPr>
          <w:color w:val="000000" w:themeColor="text1"/>
          <w:lang w:val="en-GB"/>
        </w:rPr>
        <w:t xml:space="preserve">the </w:t>
      </w:r>
      <w:r w:rsidR="00E51D02" w:rsidRPr="003F2C03">
        <w:rPr>
          <w:color w:val="000000" w:themeColor="text1"/>
          <w:lang w:val="en-GB"/>
        </w:rPr>
        <w:t>regular econom</w:t>
      </w:r>
      <w:r w:rsidR="00EC0AE1" w:rsidRPr="003F2C03">
        <w:rPr>
          <w:color w:val="000000" w:themeColor="text1"/>
          <w:lang w:val="en-GB"/>
        </w:rPr>
        <w:t>y</w:t>
      </w:r>
      <w:r w:rsidR="00E51D02" w:rsidRPr="003F2C03">
        <w:rPr>
          <w:color w:val="000000" w:themeColor="text1"/>
          <w:lang w:val="en-GB"/>
        </w:rPr>
        <w:t>.</w:t>
      </w:r>
    </w:p>
    <w:p w14:paraId="4B9B2462" w14:textId="1EB26CBE" w:rsidR="00B13C89" w:rsidRPr="003F2C03" w:rsidRDefault="00BD3DAB" w:rsidP="00172FEE">
      <w:pPr>
        <w:pStyle w:val="ListParagraph"/>
        <w:numPr>
          <w:ilvl w:val="0"/>
          <w:numId w:val="45"/>
        </w:numPr>
        <w:tabs>
          <w:tab w:val="left" w:pos="180"/>
          <w:tab w:val="left" w:pos="360"/>
        </w:tabs>
        <w:spacing w:after="120"/>
        <w:ind w:left="-3" w:right="900" w:firstLine="0"/>
        <w:jc w:val="both"/>
        <w:rPr>
          <w:lang w:val="en-GB"/>
        </w:rPr>
      </w:pPr>
      <w:r w:rsidRPr="003F2C03">
        <w:rPr>
          <w:color w:val="000000" w:themeColor="text1"/>
          <w:lang w:val="en-GB"/>
        </w:rPr>
        <w:t xml:space="preserve">Human rights and gender equality will underpin all programme </w:t>
      </w:r>
      <w:r w:rsidR="0030412E" w:rsidRPr="003F2C03">
        <w:rPr>
          <w:color w:val="000000" w:themeColor="text1"/>
          <w:lang w:val="en-GB"/>
        </w:rPr>
        <w:t>areas,</w:t>
      </w:r>
      <w:r w:rsidR="00B81D8F" w:rsidRPr="003F2C03">
        <w:rPr>
          <w:color w:val="000000" w:themeColor="text1"/>
          <w:lang w:val="en-GB"/>
        </w:rPr>
        <w:t xml:space="preserve"> with particular attention on implementation of the </w:t>
      </w:r>
      <w:r w:rsidR="00710B07" w:rsidRPr="003F2C03">
        <w:rPr>
          <w:color w:val="000000" w:themeColor="text1"/>
          <w:lang w:val="en-GB"/>
        </w:rPr>
        <w:t>commitments</w:t>
      </w:r>
      <w:r w:rsidR="002D2460">
        <w:rPr>
          <w:color w:val="000000" w:themeColor="text1"/>
          <w:lang w:val="en-GB"/>
        </w:rPr>
        <w:t xml:space="preserve"> on the Convention on the Elimination of </w:t>
      </w:r>
      <w:r w:rsidR="007D511D">
        <w:rPr>
          <w:color w:val="000000" w:themeColor="text1"/>
          <w:lang w:val="en-GB"/>
        </w:rPr>
        <w:t>A</w:t>
      </w:r>
      <w:r w:rsidR="002D2460">
        <w:rPr>
          <w:color w:val="000000" w:themeColor="text1"/>
          <w:lang w:val="en-GB"/>
        </w:rPr>
        <w:t>ll Forms of Discrimination against Women under Security Council r</w:t>
      </w:r>
      <w:r w:rsidR="00B81D8F" w:rsidRPr="003F2C03">
        <w:rPr>
          <w:color w:val="000000" w:themeColor="text1"/>
          <w:lang w:val="en-GB"/>
        </w:rPr>
        <w:t xml:space="preserve">esolution 1325. </w:t>
      </w:r>
      <w:r w:rsidRPr="003F2C03">
        <w:rPr>
          <w:color w:val="000000" w:themeColor="text1"/>
          <w:lang w:val="en-GB"/>
        </w:rPr>
        <w:t>Indicators and targets will be disaggregated by sex wherever possible</w:t>
      </w:r>
      <w:r w:rsidR="002D2460">
        <w:rPr>
          <w:color w:val="000000" w:themeColor="text1"/>
          <w:lang w:val="en-GB"/>
        </w:rPr>
        <w:t>. A</w:t>
      </w:r>
      <w:r w:rsidRPr="003F2C03">
        <w:rPr>
          <w:color w:val="000000" w:themeColor="text1"/>
          <w:lang w:val="en-GB"/>
        </w:rPr>
        <w:t xml:space="preserve">ttention </w:t>
      </w:r>
      <w:r w:rsidR="002D2460">
        <w:rPr>
          <w:color w:val="000000" w:themeColor="text1"/>
          <w:lang w:val="en-GB"/>
        </w:rPr>
        <w:t xml:space="preserve">will be </w:t>
      </w:r>
      <w:r w:rsidRPr="003F2C03">
        <w:rPr>
          <w:color w:val="000000" w:themeColor="text1"/>
          <w:lang w:val="en-GB"/>
        </w:rPr>
        <w:t xml:space="preserve">paid </w:t>
      </w:r>
      <w:r w:rsidR="00E3461B" w:rsidRPr="003F2C03">
        <w:rPr>
          <w:color w:val="000000" w:themeColor="text1"/>
          <w:lang w:val="en-GB"/>
        </w:rPr>
        <w:t>to</w:t>
      </w:r>
      <w:r w:rsidRPr="003F2C03">
        <w:rPr>
          <w:color w:val="000000" w:themeColor="text1"/>
          <w:lang w:val="en-GB"/>
        </w:rPr>
        <w:t xml:space="preserve"> </w:t>
      </w:r>
      <w:r w:rsidR="00F13C8C" w:rsidRPr="003F2C03">
        <w:rPr>
          <w:color w:val="000000" w:themeColor="text1"/>
          <w:lang w:val="en-GB"/>
        </w:rPr>
        <w:t xml:space="preserve">enhancing development opportunities for women, especially </w:t>
      </w:r>
      <w:r w:rsidRPr="003F2C03">
        <w:rPr>
          <w:color w:val="000000" w:themeColor="text1"/>
          <w:lang w:val="en-GB"/>
        </w:rPr>
        <w:t xml:space="preserve">those living in underdeveloped areas and facing economic dependency and </w:t>
      </w:r>
      <w:r w:rsidR="002D2460">
        <w:rPr>
          <w:color w:val="000000" w:themeColor="text1"/>
          <w:lang w:val="en-GB"/>
        </w:rPr>
        <w:t xml:space="preserve">family </w:t>
      </w:r>
      <w:r w:rsidRPr="003F2C03">
        <w:rPr>
          <w:color w:val="000000" w:themeColor="text1"/>
          <w:lang w:val="en-GB"/>
        </w:rPr>
        <w:t>violence</w:t>
      </w:r>
      <w:r w:rsidR="00F44505" w:rsidRPr="003F2C03">
        <w:rPr>
          <w:color w:val="000000" w:themeColor="text1"/>
          <w:lang w:val="en-GB"/>
        </w:rPr>
        <w:t>.</w:t>
      </w:r>
      <w:r w:rsidR="00F13C8C" w:rsidRPr="003F2C03">
        <w:rPr>
          <w:color w:val="000000" w:themeColor="text1"/>
          <w:lang w:val="en-GB"/>
        </w:rPr>
        <w:t xml:space="preserve">  </w:t>
      </w:r>
    </w:p>
    <w:p w14:paraId="19CFA59C" w14:textId="46165B2A" w:rsidR="00B13C89" w:rsidRPr="003F2C03" w:rsidRDefault="00614243" w:rsidP="00172FEE">
      <w:pPr>
        <w:pStyle w:val="ListParagraph"/>
        <w:numPr>
          <w:ilvl w:val="0"/>
          <w:numId w:val="45"/>
        </w:numPr>
        <w:tabs>
          <w:tab w:val="left" w:pos="180"/>
          <w:tab w:val="left" w:pos="360"/>
        </w:tabs>
        <w:spacing w:after="120"/>
        <w:ind w:left="-3" w:right="900" w:firstLine="0"/>
        <w:jc w:val="both"/>
        <w:rPr>
          <w:lang w:val="en-GB"/>
        </w:rPr>
      </w:pPr>
      <w:r w:rsidRPr="003F2C03">
        <w:rPr>
          <w:lang w:val="en-GB"/>
        </w:rPr>
        <w:t>While maintain</w:t>
      </w:r>
      <w:r w:rsidR="00C1076C" w:rsidRPr="003F2C03">
        <w:rPr>
          <w:lang w:val="en-GB"/>
        </w:rPr>
        <w:t>ing</w:t>
      </w:r>
      <w:r w:rsidRPr="003F2C03">
        <w:rPr>
          <w:lang w:val="en-GB"/>
        </w:rPr>
        <w:t xml:space="preserve"> </w:t>
      </w:r>
      <w:r w:rsidR="002D2460">
        <w:rPr>
          <w:lang w:val="en-GB"/>
        </w:rPr>
        <w:t xml:space="preserve">a </w:t>
      </w:r>
      <w:r w:rsidRPr="003F2C03">
        <w:rPr>
          <w:lang w:val="en-GB"/>
        </w:rPr>
        <w:t>country-wide focus</w:t>
      </w:r>
      <w:r w:rsidR="002D2460">
        <w:rPr>
          <w:lang w:val="en-GB"/>
        </w:rPr>
        <w:t>,</w:t>
      </w:r>
      <w:r w:rsidR="00B13C89" w:rsidRPr="003F2C03">
        <w:rPr>
          <w:lang w:val="en-GB"/>
        </w:rPr>
        <w:t xml:space="preserve"> particular </w:t>
      </w:r>
      <w:r w:rsidR="00C1076C" w:rsidRPr="003F2C03">
        <w:rPr>
          <w:lang w:val="en-GB"/>
        </w:rPr>
        <w:t xml:space="preserve">attention </w:t>
      </w:r>
      <w:r w:rsidR="002D2460">
        <w:rPr>
          <w:lang w:val="en-GB"/>
        </w:rPr>
        <w:t xml:space="preserve">will </w:t>
      </w:r>
      <w:r w:rsidR="00C1076C" w:rsidRPr="003F2C03">
        <w:rPr>
          <w:lang w:val="en-GB"/>
        </w:rPr>
        <w:t>be paid to</w:t>
      </w:r>
      <w:r w:rsidR="00B13C89" w:rsidRPr="003F2C03">
        <w:rPr>
          <w:lang w:val="en-GB"/>
        </w:rPr>
        <w:t xml:space="preserve"> </w:t>
      </w:r>
      <w:r w:rsidR="002D2460">
        <w:rPr>
          <w:lang w:val="en-GB"/>
        </w:rPr>
        <w:t xml:space="preserve">the </w:t>
      </w:r>
      <w:r w:rsidR="00B13C89" w:rsidRPr="003F2C03">
        <w:rPr>
          <w:lang w:val="en-GB"/>
        </w:rPr>
        <w:t>less developed norther</w:t>
      </w:r>
      <w:r w:rsidR="005F45D5" w:rsidRPr="003F2C03">
        <w:rPr>
          <w:lang w:val="en-GB"/>
        </w:rPr>
        <w:t>n</w:t>
      </w:r>
      <w:r w:rsidR="00B13C89" w:rsidRPr="003F2C03">
        <w:rPr>
          <w:lang w:val="en-GB"/>
        </w:rPr>
        <w:t xml:space="preserve"> region</w:t>
      </w:r>
      <w:r w:rsidR="002D2460">
        <w:rPr>
          <w:lang w:val="en-GB"/>
        </w:rPr>
        <w:t>. T</w:t>
      </w:r>
      <w:r w:rsidRPr="003F2C03">
        <w:rPr>
          <w:lang w:val="en-GB"/>
        </w:rPr>
        <w:t>he programme will target groups facing social exclusion or vulnerability, such as unemployed youth and women</w:t>
      </w:r>
      <w:r w:rsidR="002075ED">
        <w:rPr>
          <w:lang w:val="en-GB"/>
        </w:rPr>
        <w:t>;</w:t>
      </w:r>
      <w:r w:rsidRPr="003F2C03">
        <w:rPr>
          <w:lang w:val="en-GB"/>
        </w:rPr>
        <w:t xml:space="preserve"> </w:t>
      </w:r>
      <w:r w:rsidR="00B13C89" w:rsidRPr="003F2C03">
        <w:rPr>
          <w:lang w:val="en-GB"/>
        </w:rPr>
        <w:t>elderly</w:t>
      </w:r>
      <w:r w:rsidR="002D2460">
        <w:rPr>
          <w:lang w:val="en-GB"/>
        </w:rPr>
        <w:t xml:space="preserve"> people</w:t>
      </w:r>
      <w:r w:rsidR="002075ED">
        <w:rPr>
          <w:lang w:val="en-GB"/>
        </w:rPr>
        <w:t>;</w:t>
      </w:r>
      <w:r w:rsidR="00B13C89" w:rsidRPr="003F2C03">
        <w:rPr>
          <w:lang w:val="en-GB"/>
        </w:rPr>
        <w:t xml:space="preserve"> </w:t>
      </w:r>
      <w:r w:rsidRPr="003F2C03">
        <w:rPr>
          <w:lang w:val="en-GB"/>
        </w:rPr>
        <w:t>persons with disabilities</w:t>
      </w:r>
      <w:r w:rsidR="002075ED">
        <w:rPr>
          <w:lang w:val="en-GB"/>
        </w:rPr>
        <w:t>;</w:t>
      </w:r>
      <w:r w:rsidRPr="003F2C03">
        <w:rPr>
          <w:lang w:val="en-GB"/>
        </w:rPr>
        <w:t xml:space="preserve"> </w:t>
      </w:r>
      <w:r w:rsidR="002D2460">
        <w:rPr>
          <w:lang w:val="en-GB"/>
        </w:rPr>
        <w:t xml:space="preserve">the </w:t>
      </w:r>
      <w:r w:rsidRPr="003F2C03">
        <w:rPr>
          <w:lang w:val="en-GB"/>
        </w:rPr>
        <w:t>Roma community</w:t>
      </w:r>
      <w:r w:rsidR="002075ED">
        <w:rPr>
          <w:lang w:val="en-GB"/>
        </w:rPr>
        <w:t>;</w:t>
      </w:r>
      <w:r w:rsidRPr="003F2C03">
        <w:rPr>
          <w:lang w:val="en-GB"/>
        </w:rPr>
        <w:t xml:space="preserve"> </w:t>
      </w:r>
      <w:r w:rsidR="002075ED">
        <w:rPr>
          <w:lang w:val="en-GB"/>
        </w:rPr>
        <w:t xml:space="preserve">and </w:t>
      </w:r>
      <w:r w:rsidR="002075ED" w:rsidRPr="003F2C03">
        <w:rPr>
          <w:color w:val="000000"/>
          <w:lang w:val="en-GB"/>
        </w:rPr>
        <w:t>lesbian, gay, bisexual, transgender and intersexual</w:t>
      </w:r>
      <w:r w:rsidR="002075ED">
        <w:rPr>
          <w:color w:val="000000"/>
          <w:lang w:val="en-GB"/>
        </w:rPr>
        <w:t xml:space="preserve"> </w:t>
      </w:r>
      <w:r w:rsidR="002D2460">
        <w:rPr>
          <w:lang w:val="en-GB"/>
        </w:rPr>
        <w:t>individuals</w:t>
      </w:r>
      <w:r w:rsidRPr="003F2C03">
        <w:rPr>
          <w:lang w:val="en-GB"/>
        </w:rPr>
        <w:t xml:space="preserve">. </w:t>
      </w:r>
    </w:p>
    <w:p w14:paraId="0C48022D" w14:textId="1DDB67AB" w:rsidR="005264AA" w:rsidRPr="003F2C03" w:rsidRDefault="000912C8" w:rsidP="00172FEE">
      <w:pPr>
        <w:pStyle w:val="ListParagraph"/>
        <w:numPr>
          <w:ilvl w:val="0"/>
          <w:numId w:val="45"/>
        </w:numPr>
        <w:tabs>
          <w:tab w:val="left" w:pos="180"/>
          <w:tab w:val="left" w:pos="360"/>
        </w:tabs>
        <w:spacing w:after="120"/>
        <w:ind w:left="-3" w:right="900" w:firstLine="0"/>
        <w:jc w:val="both"/>
        <w:rPr>
          <w:lang w:val="en-GB"/>
        </w:rPr>
      </w:pPr>
      <w:r w:rsidRPr="003F2C03">
        <w:rPr>
          <w:color w:val="000000" w:themeColor="text1"/>
          <w:lang w:val="en-GB"/>
        </w:rPr>
        <w:t>I</w:t>
      </w:r>
      <w:r w:rsidR="001C6851" w:rsidRPr="003F2C03">
        <w:rPr>
          <w:color w:val="000000" w:themeColor="text1"/>
          <w:lang w:val="en-GB"/>
        </w:rPr>
        <w:t>mplementation of the new</w:t>
      </w:r>
      <w:r w:rsidRPr="003F2C03">
        <w:rPr>
          <w:color w:val="000000" w:themeColor="text1"/>
          <w:lang w:val="en-GB"/>
        </w:rPr>
        <w:t xml:space="preserve"> </w:t>
      </w:r>
      <w:r w:rsidR="00BC5C45" w:rsidRPr="003F2C03">
        <w:rPr>
          <w:color w:val="000000" w:themeColor="text1"/>
          <w:lang w:val="en-GB"/>
        </w:rPr>
        <w:t>five</w:t>
      </w:r>
      <w:r w:rsidR="002D2460">
        <w:rPr>
          <w:color w:val="000000" w:themeColor="text1"/>
          <w:lang w:val="en-GB"/>
        </w:rPr>
        <w:t>-</w:t>
      </w:r>
      <w:r w:rsidR="00BC5C45" w:rsidRPr="003F2C03">
        <w:rPr>
          <w:color w:val="000000" w:themeColor="text1"/>
          <w:lang w:val="en-GB"/>
        </w:rPr>
        <w:t xml:space="preserve">year </w:t>
      </w:r>
      <w:r w:rsidRPr="003F2C03">
        <w:rPr>
          <w:color w:val="000000" w:themeColor="text1"/>
          <w:lang w:val="en-GB"/>
        </w:rPr>
        <w:t>country</w:t>
      </w:r>
      <w:r w:rsidR="001C6851" w:rsidRPr="003F2C03">
        <w:rPr>
          <w:color w:val="000000" w:themeColor="text1"/>
          <w:lang w:val="en-GB"/>
        </w:rPr>
        <w:t xml:space="preserve"> programme </w:t>
      </w:r>
      <w:r w:rsidR="00561EBD" w:rsidRPr="003F2C03">
        <w:rPr>
          <w:color w:val="000000" w:themeColor="text1"/>
          <w:lang w:val="en-GB"/>
        </w:rPr>
        <w:t xml:space="preserve">will </w:t>
      </w:r>
      <w:r w:rsidR="00AD34AC" w:rsidRPr="003F2C03">
        <w:rPr>
          <w:color w:val="000000" w:themeColor="text1"/>
          <w:lang w:val="en-GB"/>
        </w:rPr>
        <w:t xml:space="preserve">rely </w:t>
      </w:r>
      <w:r w:rsidRPr="003F2C03">
        <w:rPr>
          <w:color w:val="000000" w:themeColor="text1"/>
          <w:lang w:val="en-GB"/>
        </w:rPr>
        <w:t>on strong partnership</w:t>
      </w:r>
      <w:r w:rsidR="002D2460">
        <w:rPr>
          <w:color w:val="000000" w:themeColor="text1"/>
          <w:lang w:val="en-GB"/>
        </w:rPr>
        <w:t>s</w:t>
      </w:r>
      <w:r w:rsidRPr="003F2C03">
        <w:rPr>
          <w:color w:val="000000" w:themeColor="text1"/>
          <w:lang w:val="en-GB"/>
        </w:rPr>
        <w:t xml:space="preserve"> and </w:t>
      </w:r>
      <w:r w:rsidR="00AD34AC" w:rsidRPr="003F2C03">
        <w:rPr>
          <w:color w:val="000000" w:themeColor="text1"/>
          <w:lang w:val="en-GB"/>
        </w:rPr>
        <w:t xml:space="preserve">financial </w:t>
      </w:r>
      <w:r w:rsidRPr="003F2C03">
        <w:rPr>
          <w:color w:val="000000" w:themeColor="text1"/>
          <w:lang w:val="en-GB"/>
        </w:rPr>
        <w:t xml:space="preserve">commitment from </w:t>
      </w:r>
      <w:r w:rsidR="002D2460">
        <w:rPr>
          <w:color w:val="000000" w:themeColor="text1"/>
          <w:lang w:val="en-GB"/>
        </w:rPr>
        <w:t xml:space="preserve">the </w:t>
      </w:r>
      <w:r w:rsidR="001C6851" w:rsidRPr="003F2C03">
        <w:rPr>
          <w:color w:val="000000" w:themeColor="text1"/>
          <w:lang w:val="en-GB"/>
        </w:rPr>
        <w:t>Government</w:t>
      </w:r>
      <w:r w:rsidR="00AD34AC" w:rsidRPr="003F2C03">
        <w:rPr>
          <w:color w:val="000000" w:themeColor="text1"/>
          <w:lang w:val="en-GB"/>
        </w:rPr>
        <w:t xml:space="preserve"> to take forward joint programming arrangements</w:t>
      </w:r>
      <w:r w:rsidRPr="003F2C03">
        <w:rPr>
          <w:color w:val="000000" w:themeColor="text1"/>
          <w:lang w:val="en-GB"/>
        </w:rPr>
        <w:t xml:space="preserve">.  </w:t>
      </w:r>
      <w:r w:rsidR="0096619A" w:rsidRPr="003F2C03">
        <w:rPr>
          <w:color w:val="000000" w:themeColor="text1"/>
          <w:lang w:val="en-GB"/>
        </w:rPr>
        <w:t>UNDP will ensure efficient use of available resourc</w:t>
      </w:r>
      <w:r w:rsidR="00561EBD" w:rsidRPr="003F2C03">
        <w:rPr>
          <w:color w:val="000000" w:themeColor="text1"/>
          <w:lang w:val="en-GB"/>
        </w:rPr>
        <w:t>e</w:t>
      </w:r>
      <w:r w:rsidR="00BC5C45" w:rsidRPr="003F2C03">
        <w:rPr>
          <w:color w:val="000000" w:themeColor="text1"/>
          <w:lang w:val="en-GB"/>
        </w:rPr>
        <w:t>s</w:t>
      </w:r>
      <w:r w:rsidR="00561EBD" w:rsidRPr="003F2C03">
        <w:rPr>
          <w:color w:val="000000" w:themeColor="text1"/>
          <w:lang w:val="en-GB"/>
        </w:rPr>
        <w:t xml:space="preserve"> </w:t>
      </w:r>
      <w:r w:rsidR="00EC0AE1" w:rsidRPr="003F2C03">
        <w:rPr>
          <w:color w:val="000000" w:themeColor="text1"/>
          <w:lang w:val="en-GB"/>
        </w:rPr>
        <w:t xml:space="preserve">through </w:t>
      </w:r>
      <w:r w:rsidR="002D2460">
        <w:rPr>
          <w:color w:val="000000" w:themeColor="text1"/>
          <w:lang w:val="en-GB"/>
        </w:rPr>
        <w:t>emphasis</w:t>
      </w:r>
      <w:r w:rsidR="004618A8" w:rsidRPr="003F2C03">
        <w:rPr>
          <w:color w:val="000000" w:themeColor="text1"/>
          <w:lang w:val="en-GB"/>
        </w:rPr>
        <w:t xml:space="preserve"> on:</w:t>
      </w:r>
    </w:p>
    <w:p w14:paraId="41883AEB" w14:textId="6751EA5F" w:rsidR="00B25997" w:rsidRPr="00AA7688" w:rsidRDefault="00B25997" w:rsidP="00AA7688">
      <w:pPr>
        <w:pStyle w:val="ListParagraph"/>
        <w:numPr>
          <w:ilvl w:val="1"/>
          <w:numId w:val="51"/>
        </w:numPr>
        <w:tabs>
          <w:tab w:val="left" w:pos="180"/>
          <w:tab w:val="left" w:pos="1080"/>
        </w:tabs>
        <w:ind w:left="0" w:right="900" w:firstLine="720"/>
        <w:jc w:val="both"/>
        <w:rPr>
          <w:color w:val="000000" w:themeColor="text1"/>
          <w:lang w:val="en-GB"/>
        </w:rPr>
      </w:pPr>
      <w:r w:rsidRPr="00AA7688">
        <w:rPr>
          <w:color w:val="000000" w:themeColor="text1"/>
          <w:lang w:val="en-GB"/>
        </w:rPr>
        <w:t>Brokering global and regional experience</w:t>
      </w:r>
      <w:r w:rsidR="002D2460" w:rsidRPr="00AA7688">
        <w:rPr>
          <w:color w:val="000000" w:themeColor="text1"/>
          <w:lang w:val="en-GB"/>
        </w:rPr>
        <w:t>-</w:t>
      </w:r>
      <w:r w:rsidRPr="00AA7688">
        <w:rPr>
          <w:color w:val="000000" w:themeColor="text1"/>
          <w:lang w:val="en-GB"/>
        </w:rPr>
        <w:t>sharing through South-South, East-East</w:t>
      </w:r>
      <w:r w:rsidR="002D2460" w:rsidRPr="00AA7688">
        <w:rPr>
          <w:color w:val="000000" w:themeColor="text1"/>
          <w:lang w:val="en-GB"/>
        </w:rPr>
        <w:t xml:space="preserve"> and</w:t>
      </w:r>
      <w:r w:rsidRPr="00AA7688">
        <w:rPr>
          <w:color w:val="000000" w:themeColor="text1"/>
          <w:lang w:val="en-GB"/>
        </w:rPr>
        <w:t xml:space="preserve"> triangular </w:t>
      </w:r>
      <w:r w:rsidR="003F2C03" w:rsidRPr="00AA7688">
        <w:rPr>
          <w:color w:val="000000" w:themeColor="text1"/>
          <w:lang w:val="en-GB"/>
        </w:rPr>
        <w:t>cooperation and</w:t>
      </w:r>
      <w:r w:rsidRPr="00AA7688">
        <w:rPr>
          <w:color w:val="000000" w:themeColor="text1"/>
          <w:lang w:val="en-GB"/>
        </w:rPr>
        <w:t xml:space="preserve"> peer-to peer exchange o</w:t>
      </w:r>
      <w:r w:rsidR="00864632" w:rsidRPr="00AA7688">
        <w:rPr>
          <w:color w:val="000000" w:themeColor="text1"/>
          <w:lang w:val="en-GB"/>
        </w:rPr>
        <w:t>n innovation</w:t>
      </w:r>
      <w:r w:rsidR="00E74DCF" w:rsidRPr="00AA7688">
        <w:rPr>
          <w:color w:val="000000" w:themeColor="text1"/>
          <w:lang w:val="en-GB"/>
        </w:rPr>
        <w:t>.</w:t>
      </w:r>
      <w:r w:rsidR="007374E9" w:rsidRPr="00AA7688">
        <w:rPr>
          <w:color w:val="000000" w:themeColor="text1"/>
          <w:lang w:val="en-GB"/>
        </w:rPr>
        <w:t xml:space="preserve"> </w:t>
      </w:r>
      <w:r w:rsidR="00864632" w:rsidRPr="003F2C03">
        <w:t>UNDP will seek to promote benefits from</w:t>
      </w:r>
      <w:r w:rsidR="00E74DCF" w:rsidRPr="003F2C03">
        <w:t xml:space="preserve"> </w:t>
      </w:r>
      <w:r w:rsidR="00243EE9" w:rsidRPr="003F2C03">
        <w:t xml:space="preserve">East-East </w:t>
      </w:r>
      <w:r w:rsidR="00E74DCF" w:rsidRPr="003F2C03">
        <w:t>transf</w:t>
      </w:r>
      <w:r w:rsidR="00864632" w:rsidRPr="003F2C03">
        <w:t xml:space="preserve">ers </w:t>
      </w:r>
      <w:r w:rsidR="00BD61E0" w:rsidRPr="003F2C03">
        <w:t>of knowledge</w:t>
      </w:r>
      <w:r w:rsidR="00864632" w:rsidRPr="003F2C03">
        <w:t xml:space="preserve"> and expertise from </w:t>
      </w:r>
      <w:r w:rsidR="00BD61E0" w:rsidRPr="003F2C03">
        <w:t>countries</w:t>
      </w:r>
      <w:r w:rsidR="00864632" w:rsidRPr="003F2C03">
        <w:t xml:space="preserve"> that have </w:t>
      </w:r>
      <w:r w:rsidR="00E74DCF" w:rsidRPr="003F2C03">
        <w:t>progress</w:t>
      </w:r>
      <w:r w:rsidR="00864632" w:rsidRPr="003F2C03">
        <w:t>ed</w:t>
      </w:r>
      <w:r w:rsidR="00E74DCF" w:rsidRPr="003F2C03">
        <w:t xml:space="preserve"> in </w:t>
      </w:r>
      <w:r w:rsidR="00864632" w:rsidRPr="003F2C03">
        <w:t xml:space="preserve">EU </w:t>
      </w:r>
      <w:r w:rsidR="002D2460">
        <w:t>a</w:t>
      </w:r>
      <w:r w:rsidR="00BD61E0" w:rsidRPr="003F2C03">
        <w:t>ccession reform</w:t>
      </w:r>
      <w:r w:rsidR="002D2460" w:rsidRPr="005D0DAC">
        <w:rPr>
          <w:color w:val="000000"/>
        </w:rPr>
        <w:t>;</w:t>
      </w:r>
    </w:p>
    <w:p w14:paraId="22492E46" w14:textId="38228F76" w:rsidR="00B25997" w:rsidRPr="00AA7688" w:rsidRDefault="00B25997" w:rsidP="00AA7688">
      <w:pPr>
        <w:pStyle w:val="ListParagraph"/>
        <w:numPr>
          <w:ilvl w:val="1"/>
          <w:numId w:val="51"/>
        </w:numPr>
        <w:tabs>
          <w:tab w:val="left" w:pos="180"/>
          <w:tab w:val="left" w:pos="1080"/>
        </w:tabs>
        <w:ind w:left="0" w:right="900" w:firstLine="720"/>
        <w:jc w:val="both"/>
        <w:rPr>
          <w:color w:val="000000" w:themeColor="text1"/>
          <w:lang w:val="en-GB"/>
        </w:rPr>
      </w:pPr>
      <w:r w:rsidRPr="00AA7688">
        <w:rPr>
          <w:color w:val="000000" w:themeColor="text1"/>
          <w:lang w:val="en-GB"/>
        </w:rPr>
        <w:t xml:space="preserve">Introducing innovative </w:t>
      </w:r>
      <w:r w:rsidR="002D2460" w:rsidRPr="00AA7688">
        <w:rPr>
          <w:color w:val="000000" w:themeColor="text1"/>
          <w:lang w:val="en-GB"/>
        </w:rPr>
        <w:t xml:space="preserve">and </w:t>
      </w:r>
      <w:r w:rsidRPr="00AA7688">
        <w:rPr>
          <w:color w:val="000000" w:themeColor="text1"/>
          <w:lang w:val="en-GB"/>
        </w:rPr>
        <w:t>cost-effective models that apply user</w:t>
      </w:r>
      <w:r w:rsidR="002D2460" w:rsidRPr="00AA7688">
        <w:rPr>
          <w:color w:val="000000" w:themeColor="text1"/>
          <w:lang w:val="en-GB"/>
        </w:rPr>
        <w:t>-</w:t>
      </w:r>
      <w:r w:rsidRPr="00AA7688">
        <w:rPr>
          <w:color w:val="000000" w:themeColor="text1"/>
          <w:lang w:val="en-GB"/>
        </w:rPr>
        <w:t xml:space="preserve">friendly </w:t>
      </w:r>
      <w:r w:rsidR="002D2460" w:rsidRPr="00AA7688">
        <w:rPr>
          <w:color w:val="000000" w:themeColor="text1"/>
          <w:lang w:val="en-GB"/>
        </w:rPr>
        <w:t>IT</w:t>
      </w:r>
      <w:r w:rsidRPr="00AA7688">
        <w:rPr>
          <w:color w:val="000000" w:themeColor="text1"/>
          <w:lang w:val="en-GB"/>
        </w:rPr>
        <w:t xml:space="preserve"> solutions accessible to all citizens</w:t>
      </w:r>
      <w:r w:rsidR="002D2460" w:rsidRPr="00AA7688">
        <w:rPr>
          <w:color w:val="000000" w:themeColor="text1"/>
          <w:lang w:val="en-GB"/>
        </w:rPr>
        <w:t>,</w:t>
      </w:r>
      <w:r w:rsidRPr="00AA7688">
        <w:rPr>
          <w:color w:val="000000" w:themeColor="text1"/>
          <w:lang w:val="en-GB"/>
        </w:rPr>
        <w:t xml:space="preserve"> including the most marginalized</w:t>
      </w:r>
      <w:r w:rsidR="002D2460" w:rsidRPr="00AA7688">
        <w:rPr>
          <w:color w:val="000000" w:themeColor="text1"/>
          <w:lang w:val="en-GB"/>
        </w:rPr>
        <w:t>;</w:t>
      </w:r>
      <w:r w:rsidR="00EC0AE1" w:rsidRPr="00AA7688">
        <w:rPr>
          <w:color w:val="000000" w:themeColor="text1"/>
          <w:lang w:val="en-GB"/>
        </w:rPr>
        <w:t xml:space="preserve"> </w:t>
      </w:r>
      <w:r w:rsidRPr="00AA7688">
        <w:rPr>
          <w:color w:val="000000" w:themeColor="text1"/>
          <w:lang w:val="en-GB"/>
        </w:rPr>
        <w:t xml:space="preserve"> </w:t>
      </w:r>
    </w:p>
    <w:p w14:paraId="6C80F92F" w14:textId="1C714FC7" w:rsidR="00B25997" w:rsidRPr="00AA7688" w:rsidRDefault="00864632" w:rsidP="00AA7688">
      <w:pPr>
        <w:pStyle w:val="ListParagraph"/>
        <w:numPr>
          <w:ilvl w:val="1"/>
          <w:numId w:val="51"/>
        </w:numPr>
        <w:tabs>
          <w:tab w:val="left" w:pos="180"/>
          <w:tab w:val="left" w:pos="1080"/>
        </w:tabs>
        <w:ind w:left="0" w:right="900" w:firstLine="720"/>
        <w:jc w:val="both"/>
        <w:rPr>
          <w:color w:val="000000" w:themeColor="text1"/>
          <w:lang w:val="en-GB"/>
        </w:rPr>
      </w:pPr>
      <w:r w:rsidRPr="00AA7688">
        <w:rPr>
          <w:color w:val="000000" w:themeColor="text1"/>
          <w:lang w:val="en-GB"/>
        </w:rPr>
        <w:t xml:space="preserve">Using knowledge products and resources (such as </w:t>
      </w:r>
      <w:r w:rsidR="00613726">
        <w:rPr>
          <w:color w:val="000000" w:themeColor="text1"/>
          <w:lang w:val="en-GB"/>
        </w:rPr>
        <w:t>national human development report</w:t>
      </w:r>
      <w:r w:rsidRPr="00AA7688">
        <w:rPr>
          <w:color w:val="000000" w:themeColor="text1"/>
          <w:lang w:val="en-GB"/>
        </w:rPr>
        <w:t xml:space="preserve">s, research, studies) to generate </w:t>
      </w:r>
      <w:r w:rsidR="002D2460" w:rsidRPr="00AA7688">
        <w:rPr>
          <w:color w:val="000000" w:themeColor="text1"/>
          <w:lang w:val="en-GB"/>
        </w:rPr>
        <w:t xml:space="preserve">a </w:t>
      </w:r>
      <w:r w:rsidRPr="00AA7688">
        <w:rPr>
          <w:color w:val="000000" w:themeColor="text1"/>
          <w:lang w:val="en-GB"/>
        </w:rPr>
        <w:t xml:space="preserve">nationwide, inclusive policy dialogue </w:t>
      </w:r>
      <w:r w:rsidR="00EC0AE1" w:rsidRPr="00AA7688">
        <w:rPr>
          <w:color w:val="000000" w:themeColor="text1"/>
          <w:lang w:val="en-GB"/>
        </w:rPr>
        <w:t xml:space="preserve">and extend </w:t>
      </w:r>
      <w:r w:rsidRPr="00AA7688">
        <w:rPr>
          <w:color w:val="000000" w:themeColor="text1"/>
          <w:lang w:val="en-GB"/>
        </w:rPr>
        <w:t xml:space="preserve">knowledge within </w:t>
      </w:r>
      <w:r w:rsidR="002D2460" w:rsidRPr="00AA7688">
        <w:rPr>
          <w:color w:val="000000" w:themeColor="text1"/>
          <w:lang w:val="en-GB"/>
        </w:rPr>
        <w:t xml:space="preserve">the </w:t>
      </w:r>
      <w:r w:rsidRPr="00AA7688">
        <w:rPr>
          <w:color w:val="000000" w:themeColor="text1"/>
          <w:lang w:val="en-GB"/>
        </w:rPr>
        <w:t>region</w:t>
      </w:r>
      <w:r w:rsidR="002D2460" w:rsidRPr="00AA7688">
        <w:rPr>
          <w:color w:val="000000" w:themeColor="text1"/>
          <w:lang w:val="en-GB"/>
        </w:rPr>
        <w:t>;</w:t>
      </w:r>
    </w:p>
    <w:p w14:paraId="2AE48466" w14:textId="6793A922" w:rsidR="00B25997" w:rsidRPr="00AA7688" w:rsidRDefault="00EC0AE1" w:rsidP="00AA7688">
      <w:pPr>
        <w:pStyle w:val="ListParagraph"/>
        <w:numPr>
          <w:ilvl w:val="1"/>
          <w:numId w:val="51"/>
        </w:numPr>
        <w:tabs>
          <w:tab w:val="left" w:pos="180"/>
          <w:tab w:val="left" w:pos="1080"/>
        </w:tabs>
        <w:ind w:left="0" w:right="900" w:firstLine="720"/>
        <w:jc w:val="both"/>
        <w:rPr>
          <w:color w:val="000000" w:themeColor="text1"/>
          <w:lang w:val="en-GB"/>
        </w:rPr>
      </w:pPr>
      <w:r w:rsidRPr="00AA7688">
        <w:rPr>
          <w:color w:val="000000" w:themeColor="text1"/>
          <w:lang w:val="en-GB"/>
        </w:rPr>
        <w:t>S</w:t>
      </w:r>
      <w:r w:rsidR="00B25997" w:rsidRPr="00AA7688">
        <w:rPr>
          <w:color w:val="000000" w:themeColor="text1"/>
          <w:lang w:val="en-GB"/>
        </w:rPr>
        <w:t>trengthening capacities of joint Government</w:t>
      </w:r>
      <w:r w:rsidR="002D2460" w:rsidRPr="00AA7688">
        <w:rPr>
          <w:color w:val="000000" w:themeColor="text1"/>
          <w:lang w:val="en-GB"/>
        </w:rPr>
        <w:t>-</w:t>
      </w:r>
      <w:r w:rsidR="00B25997" w:rsidRPr="00AA7688">
        <w:rPr>
          <w:color w:val="000000" w:themeColor="text1"/>
          <w:lang w:val="en-GB"/>
        </w:rPr>
        <w:t>UNDP programme</w:t>
      </w:r>
      <w:r w:rsidR="00BE7CBD" w:rsidRPr="00AA7688">
        <w:rPr>
          <w:color w:val="000000" w:themeColor="text1"/>
          <w:lang w:val="en-GB"/>
        </w:rPr>
        <w:t>s</w:t>
      </w:r>
      <w:r w:rsidRPr="00AA7688">
        <w:rPr>
          <w:color w:val="000000" w:themeColor="text1"/>
          <w:lang w:val="en-GB"/>
        </w:rPr>
        <w:t xml:space="preserve"> such as </w:t>
      </w:r>
      <w:r w:rsidR="002D2460" w:rsidRPr="00AA7688">
        <w:rPr>
          <w:color w:val="000000" w:themeColor="text1"/>
          <w:lang w:val="en-GB"/>
        </w:rPr>
        <w:t xml:space="preserve">the </w:t>
      </w:r>
      <w:r w:rsidR="00B25997" w:rsidRPr="00AA7688">
        <w:rPr>
          <w:color w:val="000000" w:themeColor="text1"/>
          <w:lang w:val="en-GB"/>
        </w:rPr>
        <w:t>Centr</w:t>
      </w:r>
      <w:r w:rsidR="002D2460" w:rsidRPr="00AA7688">
        <w:rPr>
          <w:color w:val="000000" w:themeColor="text1"/>
          <w:lang w:val="en-GB"/>
        </w:rPr>
        <w:t>e</w:t>
      </w:r>
      <w:r w:rsidR="00B25997" w:rsidRPr="00AA7688">
        <w:rPr>
          <w:color w:val="000000" w:themeColor="text1"/>
          <w:lang w:val="en-GB"/>
        </w:rPr>
        <w:t xml:space="preserve"> </w:t>
      </w:r>
      <w:r w:rsidR="00BE7CBD" w:rsidRPr="00AA7688">
        <w:rPr>
          <w:color w:val="000000" w:themeColor="text1"/>
          <w:lang w:val="en-GB"/>
        </w:rPr>
        <w:t xml:space="preserve">for Sustainable Development </w:t>
      </w:r>
      <w:r w:rsidRPr="00AA7688">
        <w:rPr>
          <w:color w:val="000000" w:themeColor="text1"/>
          <w:lang w:val="en-GB"/>
        </w:rPr>
        <w:t xml:space="preserve">for </w:t>
      </w:r>
      <w:r w:rsidR="00B25997" w:rsidRPr="00AA7688">
        <w:rPr>
          <w:color w:val="000000" w:themeColor="text1"/>
          <w:lang w:val="en-GB"/>
        </w:rPr>
        <w:t>Agenda 2030</w:t>
      </w:r>
      <w:r w:rsidR="009220FD" w:rsidRPr="00AA7688">
        <w:rPr>
          <w:color w:val="000000" w:themeColor="text1"/>
          <w:lang w:val="en-GB"/>
        </w:rPr>
        <w:t xml:space="preserve"> </w:t>
      </w:r>
      <w:r w:rsidR="00B25997" w:rsidRPr="00AA7688">
        <w:rPr>
          <w:color w:val="000000" w:themeColor="text1"/>
          <w:lang w:val="en-GB"/>
        </w:rPr>
        <w:t xml:space="preserve">and </w:t>
      </w:r>
      <w:r w:rsidR="002D2460" w:rsidRPr="00AA7688">
        <w:rPr>
          <w:color w:val="000000" w:themeColor="text1"/>
          <w:lang w:val="en-GB"/>
        </w:rPr>
        <w:t xml:space="preserve">the </w:t>
      </w:r>
      <w:r w:rsidR="00B25997" w:rsidRPr="00AA7688">
        <w:rPr>
          <w:color w:val="000000" w:themeColor="text1"/>
          <w:lang w:val="en-GB"/>
        </w:rPr>
        <w:t>National Sustainable Development Strategy</w:t>
      </w:r>
      <w:r w:rsidR="003F2C03" w:rsidRPr="00AA7688">
        <w:rPr>
          <w:color w:val="000000" w:themeColor="text1"/>
          <w:lang w:val="en-GB"/>
        </w:rPr>
        <w:t xml:space="preserve">. </w:t>
      </w:r>
      <w:r w:rsidR="002D2460" w:rsidRPr="00AA7688">
        <w:rPr>
          <w:color w:val="000000" w:themeColor="text1"/>
          <w:lang w:val="en-GB"/>
        </w:rPr>
        <w:t xml:space="preserve">The </w:t>
      </w:r>
      <w:r w:rsidR="00B25997" w:rsidRPr="00AA7688">
        <w:rPr>
          <w:color w:val="000000" w:themeColor="text1"/>
          <w:lang w:val="en-GB"/>
        </w:rPr>
        <w:t xml:space="preserve">Government and UNDP will continue working together on strengthening the </w:t>
      </w:r>
      <w:r w:rsidR="002D2460" w:rsidRPr="00AA7688">
        <w:rPr>
          <w:color w:val="000000" w:themeColor="text1"/>
          <w:lang w:val="en-GB"/>
        </w:rPr>
        <w:t xml:space="preserve">Centre’s </w:t>
      </w:r>
      <w:r w:rsidR="00B25997" w:rsidRPr="00AA7688">
        <w:rPr>
          <w:color w:val="000000" w:themeColor="text1"/>
          <w:lang w:val="en-GB"/>
        </w:rPr>
        <w:t>regional profile through exchange of best practices</w:t>
      </w:r>
      <w:r w:rsidR="008000A8" w:rsidRPr="00AA7688">
        <w:rPr>
          <w:color w:val="000000" w:themeColor="text1"/>
          <w:lang w:val="en-GB"/>
        </w:rPr>
        <w:t xml:space="preserve"> </w:t>
      </w:r>
      <w:r w:rsidR="00B25997" w:rsidRPr="00AA7688">
        <w:rPr>
          <w:color w:val="000000" w:themeColor="text1"/>
          <w:lang w:val="en-GB"/>
        </w:rPr>
        <w:t>and regional events</w:t>
      </w:r>
      <w:r w:rsidR="002D2460" w:rsidRPr="00AA7688">
        <w:rPr>
          <w:color w:val="000000" w:themeColor="text1"/>
          <w:lang w:val="en-GB"/>
        </w:rPr>
        <w:t xml:space="preserve"> that</w:t>
      </w:r>
      <w:r w:rsidR="009346D8" w:rsidRPr="00AA7688">
        <w:rPr>
          <w:color w:val="000000" w:themeColor="text1"/>
          <w:lang w:val="en-GB"/>
        </w:rPr>
        <w:t xml:space="preserve"> </w:t>
      </w:r>
      <w:r w:rsidR="00243EE9" w:rsidRPr="00AA7688">
        <w:rPr>
          <w:color w:val="000000" w:themeColor="text1"/>
          <w:lang w:val="en-GB"/>
        </w:rPr>
        <w:t>demonstrat</w:t>
      </w:r>
      <w:r w:rsidR="002D2460" w:rsidRPr="00AA7688">
        <w:rPr>
          <w:color w:val="000000" w:themeColor="text1"/>
          <w:lang w:val="en-GB"/>
        </w:rPr>
        <w:t>e the</w:t>
      </w:r>
      <w:r w:rsidR="009346D8" w:rsidRPr="00AA7688">
        <w:rPr>
          <w:color w:val="000000" w:themeColor="text1"/>
          <w:lang w:val="en-GB"/>
        </w:rPr>
        <w:t xml:space="preserve"> complementarities </w:t>
      </w:r>
      <w:r w:rsidR="00243EE9" w:rsidRPr="00AA7688">
        <w:rPr>
          <w:color w:val="000000" w:themeColor="text1"/>
          <w:lang w:val="en-GB"/>
        </w:rPr>
        <w:t>between</w:t>
      </w:r>
      <w:r w:rsidR="009346D8" w:rsidRPr="00AA7688">
        <w:rPr>
          <w:color w:val="000000" w:themeColor="text1"/>
          <w:lang w:val="en-GB"/>
        </w:rPr>
        <w:t xml:space="preserve"> the EU and SDG agendas</w:t>
      </w:r>
      <w:r w:rsidR="002D2460" w:rsidRPr="00AA7688">
        <w:rPr>
          <w:color w:val="000000" w:themeColor="text1"/>
          <w:lang w:val="en-GB"/>
        </w:rPr>
        <w:t>;</w:t>
      </w:r>
    </w:p>
    <w:p w14:paraId="1BB80E81" w14:textId="558CAE99" w:rsidR="00A21C08" w:rsidRPr="003F2C03" w:rsidRDefault="00191C0A" w:rsidP="00172FEE">
      <w:pPr>
        <w:pStyle w:val="ListParagraph"/>
        <w:numPr>
          <w:ilvl w:val="1"/>
          <w:numId w:val="51"/>
        </w:numPr>
        <w:tabs>
          <w:tab w:val="left" w:pos="180"/>
          <w:tab w:val="left" w:pos="1080"/>
        </w:tabs>
        <w:spacing w:after="120"/>
        <w:ind w:left="0" w:right="900" w:firstLine="720"/>
        <w:jc w:val="both"/>
        <w:rPr>
          <w:color w:val="000000" w:themeColor="text1"/>
          <w:lang w:val="en-GB"/>
        </w:rPr>
      </w:pPr>
      <w:r w:rsidRPr="003F2C03">
        <w:rPr>
          <w:color w:val="000000" w:themeColor="text1"/>
          <w:lang w:val="en-GB"/>
        </w:rPr>
        <w:t xml:space="preserve">Promoting </w:t>
      </w:r>
      <w:r w:rsidR="00661927" w:rsidRPr="003F2C03">
        <w:rPr>
          <w:color w:val="000000" w:themeColor="text1"/>
          <w:lang w:val="en-GB"/>
        </w:rPr>
        <w:t>effective</w:t>
      </w:r>
      <w:r w:rsidR="00EC0AE1" w:rsidRPr="003F2C03">
        <w:rPr>
          <w:color w:val="000000" w:themeColor="text1"/>
          <w:lang w:val="en-GB"/>
        </w:rPr>
        <w:t xml:space="preserve"> models </w:t>
      </w:r>
      <w:r w:rsidR="003F2C03" w:rsidRPr="003F2C03">
        <w:rPr>
          <w:color w:val="000000" w:themeColor="text1"/>
          <w:lang w:val="en-GB"/>
        </w:rPr>
        <w:t>of local</w:t>
      </w:r>
      <w:r w:rsidRPr="003F2C03">
        <w:rPr>
          <w:color w:val="000000" w:themeColor="text1"/>
          <w:lang w:val="en-GB"/>
        </w:rPr>
        <w:t xml:space="preserve"> economic development and sustainable </w:t>
      </w:r>
      <w:r w:rsidR="00C819D8" w:rsidRPr="003F2C03">
        <w:rPr>
          <w:color w:val="000000" w:themeColor="text1"/>
          <w:lang w:val="en-GB"/>
        </w:rPr>
        <w:t>management of</w:t>
      </w:r>
      <w:r w:rsidRPr="003F2C03">
        <w:rPr>
          <w:color w:val="000000" w:themeColor="text1"/>
          <w:lang w:val="en-GB"/>
        </w:rPr>
        <w:t xml:space="preserve"> protected areas in the </w:t>
      </w:r>
      <w:r w:rsidR="00A34F56">
        <w:rPr>
          <w:color w:val="000000" w:themeColor="text1"/>
          <w:lang w:val="en-GB"/>
        </w:rPr>
        <w:t>n</w:t>
      </w:r>
      <w:r w:rsidR="00661927" w:rsidRPr="003F2C03">
        <w:rPr>
          <w:color w:val="000000" w:themeColor="text1"/>
          <w:lang w:val="en-GB"/>
        </w:rPr>
        <w:t>orthern region to</w:t>
      </w:r>
      <w:r w:rsidRPr="003F2C03">
        <w:rPr>
          <w:color w:val="000000" w:themeColor="text1"/>
          <w:lang w:val="en-GB"/>
        </w:rPr>
        <w:t xml:space="preserve"> </w:t>
      </w:r>
      <w:r w:rsidR="001E77E6" w:rsidRPr="003F2C03">
        <w:rPr>
          <w:color w:val="000000" w:themeColor="text1"/>
          <w:lang w:val="en-GB"/>
        </w:rPr>
        <w:t>r</w:t>
      </w:r>
      <w:r w:rsidR="00B25997" w:rsidRPr="003F2C03">
        <w:rPr>
          <w:color w:val="000000" w:themeColor="text1"/>
          <w:lang w:val="en-GB"/>
        </w:rPr>
        <w:t>educ</w:t>
      </w:r>
      <w:r w:rsidR="00661927" w:rsidRPr="003F2C03">
        <w:rPr>
          <w:color w:val="000000" w:themeColor="text1"/>
          <w:lang w:val="en-GB"/>
        </w:rPr>
        <w:t>e</w:t>
      </w:r>
      <w:r w:rsidR="00B25997" w:rsidRPr="003F2C03">
        <w:rPr>
          <w:color w:val="000000" w:themeColor="text1"/>
          <w:lang w:val="en-GB"/>
        </w:rPr>
        <w:t xml:space="preserve"> regional inequalities </w:t>
      </w:r>
      <w:r w:rsidR="00661927" w:rsidRPr="003F2C03">
        <w:rPr>
          <w:color w:val="000000" w:themeColor="text1"/>
          <w:lang w:val="en-GB"/>
        </w:rPr>
        <w:t>and optimize resource utilization.</w:t>
      </w:r>
      <w:r w:rsidR="00B25997" w:rsidRPr="003F2C03">
        <w:rPr>
          <w:color w:val="000000" w:themeColor="text1"/>
          <w:lang w:val="en-GB"/>
        </w:rPr>
        <w:t xml:space="preserve"> </w:t>
      </w:r>
    </w:p>
    <w:p w14:paraId="515243EB" w14:textId="03B60AED" w:rsidR="00F44505" w:rsidRPr="003F2C03" w:rsidRDefault="00FE6E63" w:rsidP="00172FEE">
      <w:pPr>
        <w:pStyle w:val="ListParagraph"/>
        <w:numPr>
          <w:ilvl w:val="0"/>
          <w:numId w:val="45"/>
        </w:numPr>
        <w:tabs>
          <w:tab w:val="left" w:pos="180"/>
          <w:tab w:val="left" w:pos="360"/>
        </w:tabs>
        <w:ind w:left="-3" w:right="900" w:firstLine="0"/>
        <w:jc w:val="both"/>
        <w:rPr>
          <w:color w:val="000000" w:themeColor="text1"/>
          <w:lang w:val="en-GB"/>
        </w:rPr>
      </w:pPr>
      <w:r w:rsidRPr="003F2C03">
        <w:rPr>
          <w:color w:val="000000" w:themeColor="text1"/>
          <w:lang w:val="en-GB"/>
        </w:rPr>
        <w:t xml:space="preserve">Building on successful </w:t>
      </w:r>
      <w:r w:rsidR="002D2460">
        <w:rPr>
          <w:color w:val="000000" w:themeColor="text1"/>
          <w:lang w:val="en-GB"/>
        </w:rPr>
        <w:t>Delivering as One</w:t>
      </w:r>
      <w:r w:rsidR="002D2460" w:rsidRPr="003F2C03">
        <w:rPr>
          <w:color w:val="000000" w:themeColor="text1"/>
          <w:lang w:val="en-GB"/>
        </w:rPr>
        <w:t xml:space="preserve"> </w:t>
      </w:r>
      <w:r w:rsidRPr="003F2C03">
        <w:rPr>
          <w:color w:val="000000" w:themeColor="text1"/>
          <w:lang w:val="en-GB"/>
        </w:rPr>
        <w:t xml:space="preserve">mechanisms and </w:t>
      </w:r>
      <w:r w:rsidR="002D2460">
        <w:rPr>
          <w:color w:val="000000" w:themeColor="text1"/>
          <w:lang w:val="en-GB"/>
        </w:rPr>
        <w:t xml:space="preserve">the </w:t>
      </w:r>
      <w:r w:rsidR="00EC0AE1" w:rsidRPr="003F2C03">
        <w:rPr>
          <w:color w:val="000000" w:themeColor="text1"/>
          <w:lang w:val="en-GB"/>
        </w:rPr>
        <w:t xml:space="preserve">expertise of </w:t>
      </w:r>
      <w:r w:rsidR="002D2460">
        <w:rPr>
          <w:color w:val="000000" w:themeColor="text1"/>
          <w:lang w:val="en-GB"/>
        </w:rPr>
        <w:t>United Nations</w:t>
      </w:r>
      <w:r w:rsidRPr="003F2C03">
        <w:rPr>
          <w:color w:val="000000" w:themeColor="text1"/>
          <w:lang w:val="en-GB"/>
        </w:rPr>
        <w:t xml:space="preserve"> partners</w:t>
      </w:r>
      <w:r w:rsidR="002D2460">
        <w:rPr>
          <w:color w:val="000000" w:themeColor="text1"/>
          <w:lang w:val="en-GB"/>
        </w:rPr>
        <w:t>,</w:t>
      </w:r>
      <w:r w:rsidRPr="003F2C03">
        <w:rPr>
          <w:color w:val="000000" w:themeColor="text1"/>
          <w:lang w:val="en-GB"/>
        </w:rPr>
        <w:t xml:space="preserve"> UNDP </w:t>
      </w:r>
      <w:r w:rsidR="00993DF0" w:rsidRPr="003F2C03">
        <w:rPr>
          <w:color w:val="000000" w:themeColor="text1"/>
          <w:lang w:val="en-GB"/>
        </w:rPr>
        <w:t xml:space="preserve">will </w:t>
      </w:r>
      <w:r w:rsidRPr="003F2C03">
        <w:rPr>
          <w:color w:val="000000" w:themeColor="text1"/>
          <w:lang w:val="en-GB"/>
        </w:rPr>
        <w:t xml:space="preserve">ensure </w:t>
      </w:r>
      <w:r w:rsidR="002D2460">
        <w:rPr>
          <w:color w:val="000000" w:themeColor="text1"/>
          <w:lang w:val="en-GB"/>
        </w:rPr>
        <w:t xml:space="preserve">that </w:t>
      </w:r>
      <w:r w:rsidRPr="003F2C03">
        <w:rPr>
          <w:color w:val="000000" w:themeColor="text1"/>
          <w:lang w:val="en-GB"/>
        </w:rPr>
        <w:t xml:space="preserve">activities of the </w:t>
      </w:r>
      <w:r w:rsidR="002D2460">
        <w:rPr>
          <w:color w:val="000000" w:themeColor="text1"/>
          <w:lang w:val="en-GB"/>
        </w:rPr>
        <w:t>United Nations</w:t>
      </w:r>
      <w:r w:rsidR="002D2460" w:rsidRPr="003F2C03">
        <w:rPr>
          <w:color w:val="000000" w:themeColor="text1"/>
          <w:lang w:val="en-GB"/>
        </w:rPr>
        <w:t xml:space="preserve"> </w:t>
      </w:r>
      <w:r w:rsidRPr="003F2C03">
        <w:rPr>
          <w:color w:val="000000" w:themeColor="text1"/>
          <w:lang w:val="en-GB"/>
        </w:rPr>
        <w:t xml:space="preserve">system </w:t>
      </w:r>
      <w:r w:rsidR="002D2460">
        <w:rPr>
          <w:color w:val="000000" w:themeColor="text1"/>
          <w:lang w:val="en-GB"/>
        </w:rPr>
        <w:t xml:space="preserve">in Montenegro </w:t>
      </w:r>
      <w:r w:rsidRPr="003F2C03">
        <w:rPr>
          <w:color w:val="000000" w:themeColor="text1"/>
          <w:lang w:val="en-GB"/>
        </w:rPr>
        <w:t xml:space="preserve">are </w:t>
      </w:r>
      <w:r w:rsidR="004618A8" w:rsidRPr="003F2C03">
        <w:rPr>
          <w:color w:val="000000" w:themeColor="text1"/>
          <w:lang w:val="en-GB"/>
        </w:rPr>
        <w:t xml:space="preserve">well </w:t>
      </w:r>
      <w:r w:rsidRPr="003F2C03">
        <w:rPr>
          <w:color w:val="000000" w:themeColor="text1"/>
          <w:lang w:val="en-GB"/>
        </w:rPr>
        <w:t>coordinated and compl</w:t>
      </w:r>
      <w:r w:rsidR="007D511D">
        <w:rPr>
          <w:color w:val="000000" w:themeColor="text1"/>
          <w:lang w:val="en-GB"/>
        </w:rPr>
        <w:t>e</w:t>
      </w:r>
      <w:r w:rsidRPr="003F2C03">
        <w:rPr>
          <w:color w:val="000000" w:themeColor="text1"/>
          <w:lang w:val="en-GB"/>
        </w:rPr>
        <w:t xml:space="preserve">mentary. </w:t>
      </w:r>
      <w:r w:rsidR="001D00A4" w:rsidRPr="003F2C03">
        <w:rPr>
          <w:color w:val="000000" w:themeColor="text1"/>
          <w:lang w:val="en-GB"/>
        </w:rPr>
        <w:t>I</w:t>
      </w:r>
      <w:r w:rsidRPr="003F2C03">
        <w:rPr>
          <w:color w:val="000000" w:themeColor="text1"/>
          <w:lang w:val="en-GB"/>
        </w:rPr>
        <w:t xml:space="preserve">nnovative mechanisms in </w:t>
      </w:r>
      <w:r w:rsidR="00993DF0" w:rsidRPr="003F2C03">
        <w:rPr>
          <w:color w:val="000000" w:themeColor="text1"/>
          <w:lang w:val="en-GB"/>
        </w:rPr>
        <w:t>joint programming</w:t>
      </w:r>
      <w:r w:rsidR="005330F9" w:rsidRPr="003F2C03">
        <w:rPr>
          <w:color w:val="000000" w:themeColor="text1"/>
          <w:lang w:val="en-GB"/>
        </w:rPr>
        <w:t xml:space="preserve"> and</w:t>
      </w:r>
      <w:r w:rsidR="00BD61E0" w:rsidRPr="003F2C03">
        <w:rPr>
          <w:color w:val="000000" w:themeColor="text1"/>
          <w:lang w:val="en-GB"/>
        </w:rPr>
        <w:t xml:space="preserve"> information</w:t>
      </w:r>
      <w:r w:rsidRPr="003F2C03">
        <w:rPr>
          <w:color w:val="000000" w:themeColor="text1"/>
          <w:lang w:val="en-GB"/>
        </w:rPr>
        <w:t xml:space="preserve"> exchange </w:t>
      </w:r>
      <w:r w:rsidR="005330F9" w:rsidRPr="003F2C03">
        <w:rPr>
          <w:color w:val="000000" w:themeColor="text1"/>
          <w:lang w:val="en-GB"/>
        </w:rPr>
        <w:t xml:space="preserve">will </w:t>
      </w:r>
      <w:r w:rsidR="001D00A4" w:rsidRPr="003F2C03">
        <w:rPr>
          <w:color w:val="000000" w:themeColor="text1"/>
          <w:lang w:val="en-GB"/>
        </w:rPr>
        <w:t xml:space="preserve">be </w:t>
      </w:r>
      <w:r w:rsidR="00561EBD" w:rsidRPr="003F2C03">
        <w:rPr>
          <w:color w:val="000000" w:themeColor="text1"/>
          <w:lang w:val="en-GB"/>
        </w:rPr>
        <w:t xml:space="preserve">promoted and used. </w:t>
      </w:r>
      <w:r w:rsidR="00F277BF" w:rsidRPr="003F2C03">
        <w:rPr>
          <w:color w:val="000000" w:themeColor="text1"/>
          <w:lang w:val="en-GB"/>
        </w:rPr>
        <w:t xml:space="preserve">Building strong partnerships with </w:t>
      </w:r>
      <w:r w:rsidR="002D2460">
        <w:rPr>
          <w:color w:val="000000" w:themeColor="text1"/>
          <w:lang w:val="en-GB"/>
        </w:rPr>
        <w:t xml:space="preserve">the </w:t>
      </w:r>
      <w:r w:rsidR="00F277BF" w:rsidRPr="003F2C03">
        <w:rPr>
          <w:color w:val="000000" w:themeColor="text1"/>
          <w:lang w:val="en-GB"/>
        </w:rPr>
        <w:t xml:space="preserve">national government, local </w:t>
      </w:r>
      <w:r w:rsidR="009E207E" w:rsidRPr="003F2C03">
        <w:rPr>
          <w:color w:val="000000" w:themeColor="text1"/>
          <w:lang w:val="en-GB"/>
        </w:rPr>
        <w:t>self-government</w:t>
      </w:r>
      <w:r w:rsidR="00F277BF" w:rsidRPr="003F2C03">
        <w:rPr>
          <w:color w:val="000000" w:themeColor="text1"/>
          <w:lang w:val="en-GB"/>
        </w:rPr>
        <w:t xml:space="preserve"> and civil society will </w:t>
      </w:r>
      <w:r w:rsidR="005330F9" w:rsidRPr="003F2C03">
        <w:rPr>
          <w:color w:val="000000" w:themeColor="text1"/>
          <w:lang w:val="en-GB"/>
        </w:rPr>
        <w:t>be</w:t>
      </w:r>
      <w:r w:rsidR="00724B96" w:rsidRPr="003F2C03">
        <w:rPr>
          <w:color w:val="000000" w:themeColor="text1"/>
          <w:lang w:val="en-GB"/>
        </w:rPr>
        <w:t xml:space="preserve"> </w:t>
      </w:r>
      <w:r w:rsidR="00F277BF" w:rsidRPr="003F2C03">
        <w:rPr>
          <w:color w:val="000000" w:themeColor="text1"/>
          <w:lang w:val="en-GB"/>
        </w:rPr>
        <w:t xml:space="preserve">key </w:t>
      </w:r>
      <w:r w:rsidR="002D2460">
        <w:rPr>
          <w:color w:val="000000" w:themeColor="text1"/>
          <w:lang w:val="en-GB"/>
        </w:rPr>
        <w:t>to</w:t>
      </w:r>
      <w:r w:rsidR="002D2460" w:rsidRPr="003F2C03">
        <w:rPr>
          <w:color w:val="000000" w:themeColor="text1"/>
          <w:lang w:val="en-GB"/>
        </w:rPr>
        <w:t xml:space="preserve"> </w:t>
      </w:r>
      <w:r w:rsidR="00F277BF" w:rsidRPr="003F2C03">
        <w:rPr>
          <w:color w:val="000000" w:themeColor="text1"/>
          <w:lang w:val="en-GB"/>
        </w:rPr>
        <w:t>successful programme implementation</w:t>
      </w:r>
    </w:p>
    <w:p w14:paraId="3399C933" w14:textId="4C848F08" w:rsidR="00172FEE" w:rsidRDefault="00172FEE">
      <w:pPr>
        <w:rPr>
          <w:color w:val="000000" w:themeColor="text1"/>
          <w:lang w:val="en-GB"/>
        </w:rPr>
      </w:pPr>
      <w:r>
        <w:rPr>
          <w:color w:val="000000" w:themeColor="text1"/>
          <w:lang w:val="en-GB"/>
        </w:rPr>
        <w:br w:type="page"/>
      </w:r>
    </w:p>
    <w:p w14:paraId="2DC87761" w14:textId="3FFA1CD2" w:rsidR="00F44505" w:rsidRPr="00F66191" w:rsidRDefault="00F44505" w:rsidP="00F66191">
      <w:pPr>
        <w:pStyle w:val="Heading1"/>
        <w:tabs>
          <w:tab w:val="left" w:pos="0"/>
          <w:tab w:val="left" w:pos="180"/>
          <w:tab w:val="left" w:pos="1800"/>
        </w:tabs>
        <w:ind w:right="900" w:hanging="450"/>
        <w:jc w:val="both"/>
        <w:rPr>
          <w:rFonts w:ascii="Times New Roman" w:hAnsi="Times New Roman"/>
          <w:color w:val="000000"/>
          <w:sz w:val="24"/>
          <w:szCs w:val="24"/>
        </w:rPr>
      </w:pPr>
      <w:r w:rsidRPr="00F66191">
        <w:rPr>
          <w:rFonts w:ascii="Times New Roman" w:hAnsi="Times New Roman"/>
          <w:color w:val="000000"/>
          <w:sz w:val="24"/>
          <w:szCs w:val="24"/>
        </w:rPr>
        <w:lastRenderedPageBreak/>
        <w:t xml:space="preserve">III. </w:t>
      </w:r>
      <w:r w:rsidR="00F66191">
        <w:rPr>
          <w:rFonts w:ascii="Times New Roman" w:hAnsi="Times New Roman"/>
          <w:color w:val="000000"/>
          <w:sz w:val="24"/>
          <w:szCs w:val="24"/>
        </w:rPr>
        <w:tab/>
      </w:r>
      <w:r w:rsidRPr="00F66191">
        <w:rPr>
          <w:rFonts w:ascii="Times New Roman" w:hAnsi="Times New Roman"/>
          <w:color w:val="000000"/>
          <w:sz w:val="24"/>
          <w:szCs w:val="24"/>
        </w:rPr>
        <w:t xml:space="preserve">Programme and </w:t>
      </w:r>
      <w:r w:rsidR="00027DD9">
        <w:rPr>
          <w:rFonts w:ascii="Times New Roman" w:hAnsi="Times New Roman"/>
          <w:color w:val="000000"/>
          <w:sz w:val="24"/>
          <w:szCs w:val="24"/>
        </w:rPr>
        <w:t>risk</w:t>
      </w:r>
      <w:r w:rsidR="00F66191">
        <w:rPr>
          <w:rFonts w:ascii="Times New Roman" w:hAnsi="Times New Roman"/>
          <w:color w:val="000000"/>
          <w:sz w:val="24"/>
          <w:szCs w:val="24"/>
        </w:rPr>
        <w:t xml:space="preserve"> ma</w:t>
      </w:r>
      <w:r w:rsidRPr="00F66191">
        <w:rPr>
          <w:rFonts w:ascii="Times New Roman" w:hAnsi="Times New Roman"/>
          <w:color w:val="000000"/>
          <w:sz w:val="24"/>
          <w:szCs w:val="24"/>
        </w:rPr>
        <w:t xml:space="preserve">nagement </w:t>
      </w:r>
    </w:p>
    <w:p w14:paraId="52A91950" w14:textId="77777777" w:rsidR="00CF2064" w:rsidRPr="003F2C03" w:rsidRDefault="00CF2064" w:rsidP="00F66191">
      <w:pPr>
        <w:tabs>
          <w:tab w:val="left" w:pos="180"/>
          <w:tab w:val="left" w:pos="360"/>
        </w:tabs>
        <w:ind w:right="900"/>
        <w:rPr>
          <w:lang w:val="x-none" w:eastAsia="x-none"/>
        </w:rPr>
      </w:pPr>
    </w:p>
    <w:p w14:paraId="3E5FE92C" w14:textId="75649B33" w:rsidR="008B4194" w:rsidRPr="003F2C03" w:rsidRDefault="00B44C7F" w:rsidP="00172FEE">
      <w:pPr>
        <w:pStyle w:val="ListParagraph"/>
        <w:numPr>
          <w:ilvl w:val="0"/>
          <w:numId w:val="45"/>
        </w:numPr>
        <w:tabs>
          <w:tab w:val="left" w:pos="180"/>
          <w:tab w:val="left" w:pos="360"/>
        </w:tabs>
        <w:spacing w:after="120"/>
        <w:ind w:left="-3" w:right="900" w:firstLine="0"/>
        <w:jc w:val="both"/>
        <w:rPr>
          <w:color w:val="000000" w:themeColor="text1"/>
          <w:lang w:val="en-GB"/>
        </w:rPr>
      </w:pPr>
      <w:r w:rsidRPr="003F2C03">
        <w:rPr>
          <w:lang w:val="en-GB"/>
        </w:rPr>
        <w:t>Modalities for programme and project implementation will be agreed upon with country authorities</w:t>
      </w:r>
      <w:r w:rsidR="00286E6A">
        <w:rPr>
          <w:lang w:val="en-GB"/>
        </w:rPr>
        <w:t>,</w:t>
      </w:r>
      <w:r w:rsidRPr="003F2C03">
        <w:rPr>
          <w:lang w:val="en-GB"/>
        </w:rPr>
        <w:t xml:space="preserve"> </w:t>
      </w:r>
      <w:r w:rsidR="008000A8" w:rsidRPr="003F2C03">
        <w:rPr>
          <w:lang w:val="en-GB"/>
        </w:rPr>
        <w:t>reflect</w:t>
      </w:r>
      <w:r w:rsidR="0092563D">
        <w:rPr>
          <w:lang w:val="en-GB"/>
        </w:rPr>
        <w:t>ing</w:t>
      </w:r>
      <w:r w:rsidR="00286E6A">
        <w:rPr>
          <w:lang w:val="en-GB"/>
        </w:rPr>
        <w:t xml:space="preserve"> </w:t>
      </w:r>
      <w:r w:rsidRPr="003F2C03">
        <w:rPr>
          <w:lang w:val="en-GB"/>
        </w:rPr>
        <w:t>need</w:t>
      </w:r>
      <w:r w:rsidR="008000A8" w:rsidRPr="003F2C03">
        <w:rPr>
          <w:lang w:val="en-GB"/>
        </w:rPr>
        <w:t>s</w:t>
      </w:r>
      <w:r w:rsidRPr="003F2C03">
        <w:rPr>
          <w:lang w:val="en-GB"/>
        </w:rPr>
        <w:t xml:space="preserve"> and project-related circumstances.</w:t>
      </w:r>
      <w:r w:rsidR="00AD1306" w:rsidRPr="003F2C03">
        <w:rPr>
          <w:lang w:val="en-GB"/>
        </w:rPr>
        <w:t xml:space="preserve"> </w:t>
      </w:r>
      <w:r w:rsidR="00E67723" w:rsidRPr="003F2C03">
        <w:rPr>
          <w:lang w:val="en-GB"/>
        </w:rPr>
        <w:t xml:space="preserve">The transition from </w:t>
      </w:r>
      <w:r w:rsidR="00243EE9" w:rsidRPr="003F2C03">
        <w:rPr>
          <w:lang w:val="en-GB"/>
        </w:rPr>
        <w:t xml:space="preserve">a </w:t>
      </w:r>
      <w:r w:rsidR="00E67723" w:rsidRPr="003F2C03">
        <w:rPr>
          <w:lang w:val="en-GB"/>
        </w:rPr>
        <w:t xml:space="preserve">predominantly </w:t>
      </w:r>
      <w:r w:rsidR="00243EE9" w:rsidRPr="003F2C03">
        <w:rPr>
          <w:lang w:val="en-GB"/>
        </w:rPr>
        <w:t>direct implementation modality (</w:t>
      </w:r>
      <w:r w:rsidR="00E67723" w:rsidRPr="003F2C03">
        <w:rPr>
          <w:lang w:val="en-GB"/>
        </w:rPr>
        <w:t>DIM</w:t>
      </w:r>
      <w:r w:rsidR="00243EE9" w:rsidRPr="003F2C03">
        <w:rPr>
          <w:lang w:val="en-GB"/>
        </w:rPr>
        <w:t>)</w:t>
      </w:r>
      <w:r w:rsidR="00E67723" w:rsidRPr="003F2C03">
        <w:rPr>
          <w:lang w:val="en-GB"/>
        </w:rPr>
        <w:t xml:space="preserve"> context will be </w:t>
      </w:r>
      <w:r w:rsidR="00243EE9" w:rsidRPr="003F2C03">
        <w:rPr>
          <w:lang w:val="en-GB"/>
        </w:rPr>
        <w:t>reali</w:t>
      </w:r>
      <w:r w:rsidR="00286E6A">
        <w:rPr>
          <w:lang w:val="en-GB"/>
        </w:rPr>
        <w:t>zed</w:t>
      </w:r>
      <w:r w:rsidR="00243EE9" w:rsidRPr="003F2C03">
        <w:rPr>
          <w:lang w:val="en-GB"/>
        </w:rPr>
        <w:t xml:space="preserve"> </w:t>
      </w:r>
      <w:r w:rsidR="00286E6A">
        <w:rPr>
          <w:lang w:val="en-GB"/>
        </w:rPr>
        <w:t>by</w:t>
      </w:r>
      <w:r w:rsidR="00243EE9" w:rsidRPr="003F2C03">
        <w:rPr>
          <w:lang w:val="en-GB"/>
        </w:rPr>
        <w:t xml:space="preserve"> building </w:t>
      </w:r>
      <w:r w:rsidR="00AD1306" w:rsidRPr="003F2C03">
        <w:rPr>
          <w:lang w:val="en-GB"/>
        </w:rPr>
        <w:t>the institutional capacities of the Centre for Sustainable Development</w:t>
      </w:r>
      <w:r w:rsidR="00243EE9" w:rsidRPr="003F2C03">
        <w:rPr>
          <w:lang w:val="en-GB"/>
        </w:rPr>
        <w:t xml:space="preserve"> with the aim </w:t>
      </w:r>
      <w:r w:rsidR="00C819D8" w:rsidRPr="003F2C03">
        <w:rPr>
          <w:lang w:val="en-GB"/>
        </w:rPr>
        <w:t>to gradually</w:t>
      </w:r>
      <w:r w:rsidR="00AD1306" w:rsidRPr="003F2C03">
        <w:rPr>
          <w:lang w:val="en-GB"/>
        </w:rPr>
        <w:t xml:space="preserve"> </w:t>
      </w:r>
      <w:r w:rsidR="00E67723" w:rsidRPr="003F2C03">
        <w:rPr>
          <w:lang w:val="en-GB"/>
        </w:rPr>
        <w:t>transfer</w:t>
      </w:r>
      <w:r w:rsidR="00243EE9" w:rsidRPr="003F2C03">
        <w:rPr>
          <w:lang w:val="en-GB"/>
        </w:rPr>
        <w:t xml:space="preserve"> the </w:t>
      </w:r>
      <w:r w:rsidR="00F0272F" w:rsidRPr="003F2C03">
        <w:rPr>
          <w:lang w:val="en-GB"/>
        </w:rPr>
        <w:t>Centre’s portfolio</w:t>
      </w:r>
      <w:r w:rsidR="00243EE9" w:rsidRPr="003F2C03">
        <w:rPr>
          <w:lang w:val="en-GB"/>
        </w:rPr>
        <w:t xml:space="preserve"> </w:t>
      </w:r>
      <w:r w:rsidR="00AD1306" w:rsidRPr="003F2C03">
        <w:rPr>
          <w:lang w:val="en-GB"/>
        </w:rPr>
        <w:t xml:space="preserve">to national implementation modality (NIM). </w:t>
      </w:r>
      <w:r w:rsidRPr="003F2C03">
        <w:rPr>
          <w:lang w:val="en-GB"/>
        </w:rPr>
        <w:t>When using</w:t>
      </w:r>
      <w:r w:rsidR="00AD1306" w:rsidRPr="003F2C03">
        <w:rPr>
          <w:lang w:val="en-GB"/>
        </w:rPr>
        <w:t xml:space="preserve"> NIM</w:t>
      </w:r>
      <w:r w:rsidRPr="003F2C03">
        <w:rPr>
          <w:lang w:val="en-GB"/>
        </w:rPr>
        <w:t>, UNDP will conduct micro assessments (using the harmonized approach to cash transfers) of potential implementing partners’ ability to manage resources</w:t>
      </w:r>
      <w:r w:rsidR="00B15661" w:rsidRPr="003F2C03">
        <w:rPr>
          <w:lang w:val="en-GB"/>
        </w:rPr>
        <w:t xml:space="preserve">. </w:t>
      </w:r>
      <w:r w:rsidRPr="003F2C03">
        <w:rPr>
          <w:lang w:val="en-GB"/>
        </w:rPr>
        <w:t xml:space="preserve">Projects supported by vertical funds such as the Global Environment Facility </w:t>
      </w:r>
      <w:r w:rsidR="007B5535" w:rsidRPr="003F2C03">
        <w:rPr>
          <w:lang w:val="en-GB"/>
        </w:rPr>
        <w:t xml:space="preserve">and Green Climate Fund </w:t>
      </w:r>
      <w:r w:rsidR="00286E6A" w:rsidRPr="003F2C03">
        <w:rPr>
          <w:lang w:val="en-GB"/>
        </w:rPr>
        <w:t>will use the DIM</w:t>
      </w:r>
      <w:r w:rsidR="00286E6A">
        <w:rPr>
          <w:lang w:val="en-GB"/>
        </w:rPr>
        <w:t>,</w:t>
      </w:r>
      <w:r w:rsidR="00286E6A" w:rsidRPr="003F2C03" w:rsidDel="00286E6A">
        <w:rPr>
          <w:lang w:val="en-GB"/>
        </w:rPr>
        <w:t xml:space="preserve"> </w:t>
      </w:r>
      <w:r w:rsidRPr="003F2C03">
        <w:rPr>
          <w:lang w:val="en-GB"/>
        </w:rPr>
        <w:t>as w</w:t>
      </w:r>
      <w:r w:rsidR="00286E6A">
        <w:rPr>
          <w:lang w:val="en-GB"/>
        </w:rPr>
        <w:t>i</w:t>
      </w:r>
      <w:r w:rsidRPr="003F2C03">
        <w:rPr>
          <w:lang w:val="en-GB"/>
        </w:rPr>
        <w:t>ll previously approved</w:t>
      </w:r>
      <w:r w:rsidR="00286E6A">
        <w:rPr>
          <w:lang w:val="en-GB"/>
        </w:rPr>
        <w:t xml:space="preserve"> projects</w:t>
      </w:r>
      <w:r w:rsidRPr="003F2C03">
        <w:rPr>
          <w:lang w:val="en-GB"/>
        </w:rPr>
        <w:t>.</w:t>
      </w:r>
      <w:r w:rsidR="006B3524" w:rsidRPr="003F2C03">
        <w:rPr>
          <w:lang w:val="en-GB"/>
        </w:rPr>
        <w:t xml:space="preserve"> </w:t>
      </w:r>
      <w:r w:rsidR="006B3524" w:rsidRPr="003F2C03">
        <w:rPr>
          <w:iCs/>
        </w:rPr>
        <w:t>In the case of both NIM and DIM implementation and as per Executive Board decision DP/2-013/32, cost definitions and classifications for programme and development effectiveness will be charged to the concerned projects</w:t>
      </w:r>
      <w:r w:rsidRPr="003F2C03">
        <w:rPr>
          <w:lang w:val="en-GB"/>
        </w:rPr>
        <w:t xml:space="preserve">. </w:t>
      </w:r>
    </w:p>
    <w:p w14:paraId="741EA545" w14:textId="77777777" w:rsidR="00BD3DAB" w:rsidRPr="003F2C03" w:rsidRDefault="00BD3DAB" w:rsidP="00172FEE">
      <w:pPr>
        <w:pStyle w:val="ListParagraph"/>
        <w:numPr>
          <w:ilvl w:val="0"/>
          <w:numId w:val="45"/>
        </w:numPr>
        <w:tabs>
          <w:tab w:val="left" w:pos="180"/>
          <w:tab w:val="left" w:pos="360"/>
        </w:tabs>
        <w:spacing w:after="120"/>
        <w:ind w:left="-3" w:right="900" w:firstLine="0"/>
        <w:jc w:val="both"/>
        <w:rPr>
          <w:color w:val="000000" w:themeColor="text1"/>
          <w:lang w:val="en-GB"/>
        </w:rPr>
      </w:pPr>
      <w:r w:rsidRPr="003F2C03">
        <w:rPr>
          <w:iCs/>
          <w:lang w:val="en-GB"/>
        </w:rPr>
        <w:t>UNDP will</w:t>
      </w:r>
      <w:r w:rsidR="00EC77E9" w:rsidRPr="003F2C03">
        <w:rPr>
          <w:iCs/>
          <w:lang w:val="en-GB"/>
        </w:rPr>
        <w:t xml:space="preserve"> have to manage two main risks:</w:t>
      </w:r>
    </w:p>
    <w:p w14:paraId="3857D479" w14:textId="159E0FDD" w:rsidR="00BC5C45" w:rsidRPr="000168CB" w:rsidRDefault="00613726" w:rsidP="00172FEE">
      <w:pPr>
        <w:tabs>
          <w:tab w:val="left" w:pos="180"/>
          <w:tab w:val="left" w:pos="720"/>
          <w:tab w:val="left" w:pos="1080"/>
        </w:tabs>
        <w:ind w:right="900"/>
        <w:jc w:val="both"/>
        <w:rPr>
          <w:lang w:val="en-GB"/>
        </w:rPr>
      </w:pPr>
      <w:r>
        <w:rPr>
          <w:iCs/>
          <w:lang w:val="en-GB"/>
        </w:rPr>
        <w:tab/>
      </w:r>
      <w:r>
        <w:rPr>
          <w:iCs/>
          <w:lang w:val="en-GB"/>
        </w:rPr>
        <w:tab/>
        <w:t>(a)</w:t>
      </w:r>
      <w:r>
        <w:rPr>
          <w:iCs/>
          <w:lang w:val="en-GB"/>
        </w:rPr>
        <w:tab/>
      </w:r>
      <w:r w:rsidR="00BD3DAB" w:rsidRPr="00613726">
        <w:rPr>
          <w:iCs/>
          <w:lang w:val="en-GB"/>
        </w:rPr>
        <w:t xml:space="preserve">Further reductions in core resources and the limited presence of international </w:t>
      </w:r>
      <w:r w:rsidR="00884132" w:rsidRPr="00613726">
        <w:rPr>
          <w:iCs/>
          <w:lang w:val="en-GB"/>
        </w:rPr>
        <w:t>donors</w:t>
      </w:r>
      <w:r w:rsidR="00286E6A" w:rsidRPr="00613726">
        <w:rPr>
          <w:iCs/>
          <w:lang w:val="en-GB"/>
        </w:rPr>
        <w:t>, which</w:t>
      </w:r>
      <w:r w:rsidR="00884132" w:rsidRPr="00613726">
        <w:rPr>
          <w:iCs/>
          <w:lang w:val="en-GB"/>
        </w:rPr>
        <w:t xml:space="preserve"> may </w:t>
      </w:r>
      <w:r w:rsidR="00286E6A" w:rsidRPr="00613726">
        <w:rPr>
          <w:iCs/>
          <w:lang w:val="en-GB"/>
        </w:rPr>
        <w:t>affect</w:t>
      </w:r>
      <w:r w:rsidR="00884132" w:rsidRPr="00613726">
        <w:rPr>
          <w:iCs/>
          <w:lang w:val="en-GB"/>
        </w:rPr>
        <w:t xml:space="preserve"> programme sustainability</w:t>
      </w:r>
      <w:r w:rsidR="00BD3DAB" w:rsidRPr="00613726">
        <w:rPr>
          <w:iCs/>
          <w:lang w:val="en-GB"/>
        </w:rPr>
        <w:t xml:space="preserve">. </w:t>
      </w:r>
      <w:r w:rsidR="00DD3657" w:rsidRPr="00613726">
        <w:rPr>
          <w:lang w:val="en-GB"/>
        </w:rPr>
        <w:t>UNDP has reached an</w:t>
      </w:r>
      <w:r w:rsidR="00BD3DAB" w:rsidRPr="00613726">
        <w:rPr>
          <w:lang w:val="en-GB"/>
        </w:rPr>
        <w:t xml:space="preserve"> agreement </w:t>
      </w:r>
      <w:r w:rsidR="00DD3657" w:rsidRPr="00613726">
        <w:rPr>
          <w:lang w:val="en-GB"/>
        </w:rPr>
        <w:t>with</w:t>
      </w:r>
      <w:r w:rsidR="00286E6A" w:rsidRPr="00613726">
        <w:rPr>
          <w:lang w:val="en-GB"/>
        </w:rPr>
        <w:t xml:space="preserve"> the</w:t>
      </w:r>
      <w:r w:rsidR="00DD3657" w:rsidRPr="00613726">
        <w:rPr>
          <w:lang w:val="en-GB"/>
        </w:rPr>
        <w:t xml:space="preserve"> Government on</w:t>
      </w:r>
      <w:r w:rsidR="0007598D" w:rsidRPr="007322E0">
        <w:rPr>
          <w:lang w:val="en-GB"/>
        </w:rPr>
        <w:t xml:space="preserve"> annual allocations of ‘seed resources’ for </w:t>
      </w:r>
      <w:r w:rsidR="00BD3DAB" w:rsidRPr="007322E0">
        <w:rPr>
          <w:lang w:val="en-GB"/>
        </w:rPr>
        <w:t xml:space="preserve">programme </w:t>
      </w:r>
      <w:r w:rsidR="00914598" w:rsidRPr="007322E0">
        <w:rPr>
          <w:lang w:val="en-GB"/>
        </w:rPr>
        <w:t xml:space="preserve">support </w:t>
      </w:r>
      <w:r w:rsidR="00BD3DAB" w:rsidRPr="007322E0">
        <w:rPr>
          <w:lang w:val="en-GB"/>
        </w:rPr>
        <w:t>in the period 2014-2020</w:t>
      </w:r>
      <w:r w:rsidR="00286E6A" w:rsidRPr="007322E0">
        <w:rPr>
          <w:lang w:val="en-GB"/>
        </w:rPr>
        <w:t>. UNDP</w:t>
      </w:r>
      <w:r w:rsidR="00BD3DAB" w:rsidRPr="007322E0">
        <w:rPr>
          <w:lang w:val="en-GB"/>
        </w:rPr>
        <w:t xml:space="preserve"> will </w:t>
      </w:r>
      <w:r w:rsidR="00E67723" w:rsidRPr="007322E0">
        <w:rPr>
          <w:lang w:val="en-GB"/>
        </w:rPr>
        <w:t xml:space="preserve">prioritize and </w:t>
      </w:r>
      <w:r w:rsidR="00DD3657" w:rsidRPr="007322E0">
        <w:rPr>
          <w:lang w:val="en-GB"/>
        </w:rPr>
        <w:t>pursue</w:t>
      </w:r>
      <w:r w:rsidR="00BD3DAB" w:rsidRPr="007322E0">
        <w:rPr>
          <w:lang w:val="en-GB"/>
        </w:rPr>
        <w:t xml:space="preserve"> </w:t>
      </w:r>
      <w:r w:rsidR="00DD3657" w:rsidRPr="007322E0">
        <w:rPr>
          <w:lang w:val="en-GB"/>
        </w:rPr>
        <w:t xml:space="preserve">with </w:t>
      </w:r>
      <w:r w:rsidR="00286E6A" w:rsidRPr="007322E0">
        <w:rPr>
          <w:lang w:val="en-GB"/>
        </w:rPr>
        <w:t xml:space="preserve">the </w:t>
      </w:r>
      <w:r w:rsidR="00DD3657" w:rsidRPr="007322E0">
        <w:rPr>
          <w:lang w:val="en-GB"/>
        </w:rPr>
        <w:t xml:space="preserve">Government </w:t>
      </w:r>
      <w:r w:rsidR="00BD3DAB" w:rsidRPr="007322E0">
        <w:rPr>
          <w:lang w:val="en-GB"/>
        </w:rPr>
        <w:t xml:space="preserve">cost-sharing opportunities </w:t>
      </w:r>
      <w:r w:rsidR="00DD3657" w:rsidRPr="007322E0">
        <w:rPr>
          <w:lang w:val="en-GB"/>
        </w:rPr>
        <w:t>and</w:t>
      </w:r>
      <w:r w:rsidR="00BD3DAB" w:rsidRPr="007322E0">
        <w:rPr>
          <w:lang w:val="en-GB"/>
        </w:rPr>
        <w:t xml:space="preserve"> active involvement </w:t>
      </w:r>
      <w:r w:rsidR="00286E6A" w:rsidRPr="009304DE">
        <w:rPr>
          <w:lang w:val="en-GB"/>
        </w:rPr>
        <w:t xml:space="preserve">with </w:t>
      </w:r>
      <w:r w:rsidR="00BD3DAB" w:rsidRPr="009304DE">
        <w:rPr>
          <w:lang w:val="en-GB"/>
        </w:rPr>
        <w:t xml:space="preserve">EU </w:t>
      </w:r>
      <w:r w:rsidR="00286E6A" w:rsidRPr="0092563D">
        <w:rPr>
          <w:lang w:val="en-GB"/>
        </w:rPr>
        <w:t>instruments for pre-accession</w:t>
      </w:r>
      <w:r w:rsidR="00BD3DAB" w:rsidRPr="0092563D">
        <w:rPr>
          <w:lang w:val="en-GB"/>
        </w:rPr>
        <w:t xml:space="preserve"> programming. Additional risk management strategies</w:t>
      </w:r>
      <w:r w:rsidR="00BD3DAB" w:rsidRPr="000168CB">
        <w:rPr>
          <w:iCs/>
          <w:lang w:val="en-GB"/>
        </w:rPr>
        <w:t xml:space="preserve"> include regular reviews of </w:t>
      </w:r>
      <w:r w:rsidR="00286E6A" w:rsidRPr="000168CB">
        <w:rPr>
          <w:iCs/>
          <w:lang w:val="en-GB"/>
        </w:rPr>
        <w:t xml:space="preserve">the </w:t>
      </w:r>
      <w:r w:rsidR="00BD3DAB" w:rsidRPr="000168CB">
        <w:rPr>
          <w:iCs/>
          <w:lang w:val="en-GB"/>
        </w:rPr>
        <w:t>UNDP financial sustainability plan</w:t>
      </w:r>
      <w:r w:rsidR="007D511D">
        <w:rPr>
          <w:iCs/>
          <w:lang w:val="en-GB"/>
        </w:rPr>
        <w:t>;</w:t>
      </w:r>
      <w:r w:rsidR="00BD3DAB" w:rsidRPr="000168CB">
        <w:rPr>
          <w:iCs/>
          <w:lang w:val="en-GB"/>
        </w:rPr>
        <w:t xml:space="preserve"> developing long-term</w:t>
      </w:r>
      <w:r w:rsidR="004B1AF7" w:rsidRPr="000168CB">
        <w:rPr>
          <w:iCs/>
          <w:lang w:val="en-GB"/>
        </w:rPr>
        <w:t xml:space="preserve"> </w:t>
      </w:r>
      <w:r w:rsidR="00286E6A" w:rsidRPr="000168CB">
        <w:rPr>
          <w:iCs/>
          <w:lang w:val="en-GB"/>
        </w:rPr>
        <w:t>g</w:t>
      </w:r>
      <w:r w:rsidR="004B1AF7" w:rsidRPr="000168CB">
        <w:rPr>
          <w:iCs/>
          <w:lang w:val="en-GB"/>
        </w:rPr>
        <w:t>overnment</w:t>
      </w:r>
      <w:r w:rsidR="00BD3DAB" w:rsidRPr="000168CB">
        <w:rPr>
          <w:iCs/>
          <w:lang w:val="en-GB"/>
        </w:rPr>
        <w:t xml:space="preserve"> partnership</w:t>
      </w:r>
      <w:r w:rsidR="00286E6A" w:rsidRPr="000168CB">
        <w:rPr>
          <w:iCs/>
          <w:lang w:val="en-GB"/>
        </w:rPr>
        <w:t xml:space="preserve"> and </w:t>
      </w:r>
      <w:r w:rsidR="00BD3DAB" w:rsidRPr="000168CB">
        <w:rPr>
          <w:iCs/>
          <w:lang w:val="en-GB"/>
        </w:rPr>
        <w:t>r</w:t>
      </w:r>
      <w:r w:rsidR="00DD3657" w:rsidRPr="000168CB">
        <w:rPr>
          <w:iCs/>
          <w:lang w:val="en-GB"/>
        </w:rPr>
        <w:t>esource mobilization strategies</w:t>
      </w:r>
      <w:r w:rsidR="007D511D">
        <w:rPr>
          <w:iCs/>
          <w:lang w:val="en-GB"/>
        </w:rPr>
        <w:t>;</w:t>
      </w:r>
      <w:r w:rsidR="00BD3DAB" w:rsidRPr="000168CB">
        <w:rPr>
          <w:iCs/>
          <w:lang w:val="en-GB"/>
        </w:rPr>
        <w:t xml:space="preserve"> monitoring </w:t>
      </w:r>
      <w:r w:rsidR="00DD3657" w:rsidRPr="000168CB">
        <w:rPr>
          <w:iCs/>
          <w:lang w:val="en-GB"/>
        </w:rPr>
        <w:t xml:space="preserve">programme </w:t>
      </w:r>
      <w:r w:rsidR="00BD3DAB" w:rsidRPr="000168CB">
        <w:rPr>
          <w:iCs/>
          <w:lang w:val="en-GB"/>
        </w:rPr>
        <w:t>results</w:t>
      </w:r>
      <w:r w:rsidR="00DD3657" w:rsidRPr="000168CB">
        <w:rPr>
          <w:iCs/>
          <w:lang w:val="en-GB"/>
        </w:rPr>
        <w:t xml:space="preserve"> for efficiency gains</w:t>
      </w:r>
      <w:r w:rsidR="007D511D">
        <w:rPr>
          <w:iCs/>
          <w:lang w:val="en-GB"/>
        </w:rPr>
        <w:t>;</w:t>
      </w:r>
      <w:r w:rsidR="003F2C03" w:rsidRPr="000168CB">
        <w:rPr>
          <w:iCs/>
          <w:lang w:val="en-GB"/>
        </w:rPr>
        <w:t xml:space="preserve"> </w:t>
      </w:r>
      <w:r w:rsidR="00E67723" w:rsidRPr="000168CB">
        <w:rPr>
          <w:iCs/>
          <w:lang w:val="en-GB"/>
        </w:rPr>
        <w:t>and pursuing direct project costing</w:t>
      </w:r>
      <w:r w:rsidR="00BD3DAB" w:rsidRPr="000168CB">
        <w:rPr>
          <w:iCs/>
          <w:lang w:val="en-GB"/>
        </w:rPr>
        <w:t>.</w:t>
      </w:r>
      <w:r w:rsidR="004B1AF7" w:rsidRPr="000168CB">
        <w:rPr>
          <w:lang w:val="en-GB"/>
        </w:rPr>
        <w:t xml:space="preserve"> </w:t>
      </w:r>
      <w:r w:rsidR="00DD3657" w:rsidRPr="000168CB">
        <w:rPr>
          <w:iCs/>
          <w:lang w:val="en-GB"/>
        </w:rPr>
        <w:t>UNDP will maintain financial prudence and seek cost</w:t>
      </w:r>
      <w:r w:rsidR="00286E6A" w:rsidRPr="000168CB">
        <w:rPr>
          <w:iCs/>
          <w:lang w:val="en-GB"/>
        </w:rPr>
        <w:t xml:space="preserve"> </w:t>
      </w:r>
      <w:r w:rsidR="00DD3657" w:rsidRPr="000168CB">
        <w:rPr>
          <w:iCs/>
          <w:lang w:val="en-GB"/>
        </w:rPr>
        <w:t xml:space="preserve">efficiencies </w:t>
      </w:r>
      <w:r w:rsidR="00286E6A" w:rsidRPr="000168CB">
        <w:rPr>
          <w:iCs/>
          <w:lang w:val="en-GB"/>
        </w:rPr>
        <w:t xml:space="preserve">to be </w:t>
      </w:r>
      <w:r w:rsidR="00DD3657" w:rsidRPr="000168CB">
        <w:rPr>
          <w:iCs/>
          <w:lang w:val="en-GB"/>
        </w:rPr>
        <w:t>prepar</w:t>
      </w:r>
      <w:r w:rsidR="00286E6A" w:rsidRPr="000168CB">
        <w:rPr>
          <w:iCs/>
          <w:lang w:val="en-GB"/>
        </w:rPr>
        <w:t>ed</w:t>
      </w:r>
      <w:r w:rsidR="00DD3657" w:rsidRPr="000168CB">
        <w:rPr>
          <w:iCs/>
          <w:lang w:val="en-GB"/>
        </w:rPr>
        <w:t xml:space="preserve"> for potential shock</w:t>
      </w:r>
      <w:r w:rsidR="00286E6A" w:rsidRPr="000168CB">
        <w:rPr>
          <w:iCs/>
          <w:lang w:val="en-GB"/>
        </w:rPr>
        <w:t>s</w:t>
      </w:r>
      <w:r w:rsidR="00DD3657" w:rsidRPr="000168CB">
        <w:rPr>
          <w:iCs/>
          <w:lang w:val="en-GB"/>
        </w:rPr>
        <w:t xml:space="preserve">. </w:t>
      </w:r>
      <w:r w:rsidR="00286E6A" w:rsidRPr="000168CB">
        <w:rPr>
          <w:lang w:val="en-GB"/>
        </w:rPr>
        <w:t>S</w:t>
      </w:r>
      <w:r w:rsidR="004B1AF7" w:rsidRPr="000168CB">
        <w:rPr>
          <w:lang w:val="en-GB"/>
        </w:rPr>
        <w:t xml:space="preserve">taffing </w:t>
      </w:r>
      <w:r w:rsidR="00DD3657" w:rsidRPr="000168CB">
        <w:rPr>
          <w:lang w:val="en-GB"/>
        </w:rPr>
        <w:t xml:space="preserve">was reduced in the </w:t>
      </w:r>
      <w:r w:rsidR="00BD3DAB" w:rsidRPr="000168CB">
        <w:rPr>
          <w:lang w:val="en-GB"/>
        </w:rPr>
        <w:t xml:space="preserve">previous </w:t>
      </w:r>
      <w:r w:rsidR="00286E6A" w:rsidRPr="000168CB">
        <w:rPr>
          <w:lang w:val="en-GB"/>
        </w:rPr>
        <w:t xml:space="preserve">country programme </w:t>
      </w:r>
      <w:r w:rsidR="00BD3DAB" w:rsidRPr="000168CB">
        <w:rPr>
          <w:lang w:val="en-GB"/>
        </w:rPr>
        <w:t>cy</w:t>
      </w:r>
      <w:r w:rsidR="00DD3657" w:rsidRPr="000168CB">
        <w:rPr>
          <w:lang w:val="en-GB"/>
        </w:rPr>
        <w:t>cle, but additional cost-saving</w:t>
      </w:r>
      <w:r w:rsidR="00BD3DAB" w:rsidRPr="000168CB">
        <w:rPr>
          <w:lang w:val="en-GB"/>
        </w:rPr>
        <w:t xml:space="preserve"> me</w:t>
      </w:r>
      <w:r w:rsidR="00DD3657" w:rsidRPr="000168CB">
        <w:rPr>
          <w:lang w:val="en-GB"/>
        </w:rPr>
        <w:t xml:space="preserve">asures </w:t>
      </w:r>
      <w:r w:rsidR="005330F9" w:rsidRPr="000168CB">
        <w:rPr>
          <w:lang w:val="en-GB"/>
        </w:rPr>
        <w:t xml:space="preserve">will be </w:t>
      </w:r>
      <w:r w:rsidR="00DD3657" w:rsidRPr="000168CB">
        <w:rPr>
          <w:lang w:val="en-GB"/>
        </w:rPr>
        <w:t>explored.</w:t>
      </w:r>
      <w:r w:rsidR="00BC5C45" w:rsidRPr="000168CB">
        <w:rPr>
          <w:iCs/>
          <w:lang w:val="en-GB"/>
        </w:rPr>
        <w:t xml:space="preserve">  </w:t>
      </w:r>
    </w:p>
    <w:p w14:paraId="4179CD18" w14:textId="6234822A" w:rsidR="00277307" w:rsidRPr="000168CB" w:rsidRDefault="00172FEE" w:rsidP="00172FEE">
      <w:pPr>
        <w:pStyle w:val="ListParagraph"/>
        <w:numPr>
          <w:ilvl w:val="0"/>
          <w:numId w:val="52"/>
        </w:numPr>
        <w:tabs>
          <w:tab w:val="left" w:pos="720"/>
          <w:tab w:val="left" w:pos="810"/>
          <w:tab w:val="left" w:pos="900"/>
          <w:tab w:val="left" w:pos="990"/>
          <w:tab w:val="left" w:pos="1080"/>
          <w:tab w:val="left" w:pos="1440"/>
        </w:tabs>
        <w:ind w:left="0" w:right="900" w:firstLine="720"/>
        <w:jc w:val="both"/>
        <w:rPr>
          <w:iCs/>
          <w:lang w:val="en-GB"/>
        </w:rPr>
      </w:pPr>
      <w:r>
        <w:rPr>
          <w:iCs/>
          <w:lang w:val="en-GB"/>
        </w:rPr>
        <w:t xml:space="preserve">  </w:t>
      </w:r>
      <w:r w:rsidR="00693C84" w:rsidRPr="000168CB">
        <w:rPr>
          <w:iCs/>
          <w:lang w:val="en-GB"/>
        </w:rPr>
        <w:t xml:space="preserve">The </w:t>
      </w:r>
      <w:r w:rsidR="004B1AF7" w:rsidRPr="000168CB">
        <w:rPr>
          <w:iCs/>
          <w:lang w:val="en-GB"/>
        </w:rPr>
        <w:t>government’s challenge in</w:t>
      </w:r>
      <w:r w:rsidR="00B54D97" w:rsidRPr="000168CB">
        <w:rPr>
          <w:iCs/>
          <w:lang w:val="en-GB"/>
        </w:rPr>
        <w:t xml:space="preserve"> balancing the agenda of EU </w:t>
      </w:r>
      <w:r w:rsidR="00286E6A" w:rsidRPr="000168CB">
        <w:rPr>
          <w:iCs/>
          <w:lang w:val="en-GB"/>
        </w:rPr>
        <w:t>a</w:t>
      </w:r>
      <w:r w:rsidR="00B54D97" w:rsidRPr="000168CB">
        <w:rPr>
          <w:iCs/>
          <w:lang w:val="en-GB"/>
        </w:rPr>
        <w:t xml:space="preserve">ccession and </w:t>
      </w:r>
      <w:r w:rsidR="004B1AF7" w:rsidRPr="000168CB">
        <w:rPr>
          <w:iCs/>
          <w:lang w:val="en-GB"/>
        </w:rPr>
        <w:t>other international obligations such as the U</w:t>
      </w:r>
      <w:r w:rsidR="00F5321D" w:rsidRPr="000168CB">
        <w:rPr>
          <w:iCs/>
          <w:lang w:val="en-GB"/>
        </w:rPr>
        <w:t xml:space="preserve">niversal Periodic </w:t>
      </w:r>
      <w:r w:rsidR="004B1AF7" w:rsidRPr="000168CB">
        <w:rPr>
          <w:iCs/>
          <w:lang w:val="en-GB"/>
        </w:rPr>
        <w:t>R</w:t>
      </w:r>
      <w:r w:rsidR="00F5321D" w:rsidRPr="000168CB">
        <w:rPr>
          <w:iCs/>
          <w:lang w:val="en-GB"/>
        </w:rPr>
        <w:t>eview</w:t>
      </w:r>
      <w:r w:rsidR="004B1AF7" w:rsidRPr="000168CB">
        <w:rPr>
          <w:iCs/>
          <w:lang w:val="en-GB"/>
        </w:rPr>
        <w:t xml:space="preserve">, </w:t>
      </w:r>
      <w:r w:rsidR="00286E6A" w:rsidRPr="000168CB">
        <w:rPr>
          <w:iCs/>
          <w:lang w:val="en-GB"/>
        </w:rPr>
        <w:t xml:space="preserve">the </w:t>
      </w:r>
      <w:r w:rsidR="004B1AF7" w:rsidRPr="000168CB">
        <w:rPr>
          <w:iCs/>
          <w:lang w:val="en-GB"/>
        </w:rPr>
        <w:t xml:space="preserve">climate change agreement and in particular </w:t>
      </w:r>
      <w:r w:rsidR="00B54D97" w:rsidRPr="000168CB">
        <w:rPr>
          <w:iCs/>
          <w:lang w:val="en-GB"/>
        </w:rPr>
        <w:t xml:space="preserve">Agenda 2030. </w:t>
      </w:r>
      <w:r w:rsidR="00286E6A" w:rsidRPr="000168CB">
        <w:rPr>
          <w:iCs/>
          <w:lang w:val="en-GB"/>
        </w:rPr>
        <w:t>M</w:t>
      </w:r>
      <w:r w:rsidR="00B54D97" w:rsidRPr="000168CB">
        <w:rPr>
          <w:iCs/>
          <w:lang w:val="en-GB"/>
        </w:rPr>
        <w:t>eet</w:t>
      </w:r>
      <w:r w:rsidR="00286E6A" w:rsidRPr="000168CB">
        <w:rPr>
          <w:iCs/>
          <w:lang w:val="en-GB"/>
        </w:rPr>
        <w:t xml:space="preserve">ing </w:t>
      </w:r>
      <w:r w:rsidR="004B1AF7" w:rsidRPr="000168CB">
        <w:rPr>
          <w:iCs/>
          <w:lang w:val="en-GB"/>
        </w:rPr>
        <w:t xml:space="preserve">these </w:t>
      </w:r>
      <w:r w:rsidR="00B54D97" w:rsidRPr="000168CB">
        <w:rPr>
          <w:iCs/>
          <w:lang w:val="en-GB"/>
        </w:rPr>
        <w:t xml:space="preserve">obligations </w:t>
      </w:r>
      <w:r w:rsidR="00286E6A" w:rsidRPr="000168CB">
        <w:rPr>
          <w:iCs/>
          <w:lang w:val="en-GB"/>
        </w:rPr>
        <w:t xml:space="preserve">will require </w:t>
      </w:r>
      <w:r w:rsidR="004B1AF7" w:rsidRPr="000168CB">
        <w:rPr>
          <w:iCs/>
          <w:lang w:val="en-GB"/>
        </w:rPr>
        <w:t xml:space="preserve">substantial resources and policy coherence. To mitigate this risk, </w:t>
      </w:r>
      <w:r w:rsidR="00B54D97" w:rsidRPr="000168CB">
        <w:rPr>
          <w:iCs/>
          <w:lang w:val="en-GB"/>
        </w:rPr>
        <w:t xml:space="preserve">UNDP </w:t>
      </w:r>
      <w:r w:rsidR="004B1AF7" w:rsidRPr="000168CB">
        <w:rPr>
          <w:iCs/>
          <w:lang w:val="en-GB"/>
        </w:rPr>
        <w:t xml:space="preserve">will </w:t>
      </w:r>
      <w:r w:rsidR="00DD3657" w:rsidRPr="000168CB">
        <w:rPr>
          <w:iCs/>
          <w:lang w:val="en-GB"/>
        </w:rPr>
        <w:t>support</w:t>
      </w:r>
      <w:r w:rsidR="00B54D97" w:rsidRPr="000168CB">
        <w:rPr>
          <w:iCs/>
          <w:lang w:val="en-GB"/>
        </w:rPr>
        <w:t xml:space="preserve"> </w:t>
      </w:r>
      <w:r w:rsidR="00286E6A" w:rsidRPr="000168CB">
        <w:rPr>
          <w:iCs/>
          <w:lang w:val="en-GB"/>
        </w:rPr>
        <w:t xml:space="preserve">the </w:t>
      </w:r>
      <w:r w:rsidR="00B54D97" w:rsidRPr="000168CB">
        <w:rPr>
          <w:iCs/>
          <w:lang w:val="en-GB"/>
        </w:rPr>
        <w:t xml:space="preserve">Government in </w:t>
      </w:r>
      <w:r w:rsidR="004B1AF7" w:rsidRPr="000168CB">
        <w:rPr>
          <w:iCs/>
          <w:lang w:val="en-GB"/>
        </w:rPr>
        <w:t>nationali</w:t>
      </w:r>
      <w:r w:rsidR="00286E6A" w:rsidRPr="000168CB">
        <w:rPr>
          <w:iCs/>
          <w:lang w:val="en-GB"/>
        </w:rPr>
        <w:t>z</w:t>
      </w:r>
      <w:r w:rsidR="004B1AF7" w:rsidRPr="000168CB">
        <w:rPr>
          <w:iCs/>
          <w:lang w:val="en-GB"/>
        </w:rPr>
        <w:t>ing</w:t>
      </w:r>
      <w:r w:rsidR="00B54D97" w:rsidRPr="000168CB">
        <w:rPr>
          <w:iCs/>
          <w:lang w:val="en-GB"/>
        </w:rPr>
        <w:t xml:space="preserve"> the new global </w:t>
      </w:r>
      <w:r w:rsidR="004B1AF7" w:rsidRPr="000168CB">
        <w:rPr>
          <w:iCs/>
          <w:lang w:val="en-GB"/>
        </w:rPr>
        <w:t>priorities and aligning</w:t>
      </w:r>
      <w:r w:rsidR="00B54D97" w:rsidRPr="000168CB">
        <w:rPr>
          <w:iCs/>
          <w:lang w:val="en-GB"/>
        </w:rPr>
        <w:t xml:space="preserve"> the development objective</w:t>
      </w:r>
      <w:r w:rsidR="004B1AF7" w:rsidRPr="000168CB">
        <w:rPr>
          <w:iCs/>
          <w:lang w:val="en-GB"/>
        </w:rPr>
        <w:t>s</w:t>
      </w:r>
      <w:r w:rsidR="00F0272F" w:rsidRPr="000168CB">
        <w:rPr>
          <w:iCs/>
          <w:lang w:val="en-GB"/>
        </w:rPr>
        <w:t>.</w:t>
      </w:r>
      <w:r w:rsidR="00BC5C45" w:rsidRPr="000168CB">
        <w:rPr>
          <w:iCs/>
          <w:lang w:val="en-GB"/>
        </w:rPr>
        <w:t xml:space="preserve"> </w:t>
      </w:r>
    </w:p>
    <w:p w14:paraId="651440AE" w14:textId="77777777" w:rsidR="00CF2064" w:rsidRPr="003F2C03" w:rsidRDefault="00CF2064" w:rsidP="00F66191">
      <w:pPr>
        <w:tabs>
          <w:tab w:val="left" w:pos="180"/>
          <w:tab w:val="left" w:pos="360"/>
        </w:tabs>
        <w:ind w:right="900"/>
        <w:jc w:val="both"/>
        <w:rPr>
          <w:lang w:val="en-GB"/>
        </w:rPr>
      </w:pPr>
    </w:p>
    <w:p w14:paraId="26287F79" w14:textId="5F6F592B" w:rsidR="00BD3DAB" w:rsidRPr="00F66191" w:rsidRDefault="007D511D" w:rsidP="00AA7688">
      <w:pPr>
        <w:pStyle w:val="Heading1"/>
        <w:tabs>
          <w:tab w:val="left" w:pos="0"/>
          <w:tab w:val="left" w:pos="360"/>
          <w:tab w:val="left" w:pos="1800"/>
        </w:tabs>
        <w:ind w:right="900" w:hanging="450"/>
        <w:jc w:val="both"/>
        <w:rPr>
          <w:rFonts w:ascii="Times New Roman" w:hAnsi="Times New Roman"/>
          <w:color w:val="000000"/>
          <w:sz w:val="24"/>
          <w:szCs w:val="24"/>
        </w:rPr>
      </w:pPr>
      <w:r>
        <w:rPr>
          <w:rFonts w:ascii="Times New Roman" w:hAnsi="Times New Roman"/>
          <w:color w:val="000000"/>
          <w:sz w:val="24"/>
          <w:szCs w:val="24"/>
          <w:lang w:val="en-US"/>
        </w:rPr>
        <w:t>IV.</w:t>
      </w:r>
      <w:r>
        <w:rPr>
          <w:rFonts w:ascii="Times New Roman" w:hAnsi="Times New Roman"/>
          <w:color w:val="000000"/>
          <w:sz w:val="24"/>
          <w:szCs w:val="24"/>
          <w:lang w:val="en-US"/>
        </w:rPr>
        <w:tab/>
      </w:r>
      <w:r w:rsidR="00BD3DAB" w:rsidRPr="00F66191">
        <w:rPr>
          <w:rFonts w:ascii="Times New Roman" w:hAnsi="Times New Roman"/>
          <w:color w:val="000000"/>
          <w:sz w:val="24"/>
          <w:szCs w:val="24"/>
        </w:rPr>
        <w:t xml:space="preserve">Monitoring and </w:t>
      </w:r>
      <w:r w:rsidR="00FB55B0">
        <w:rPr>
          <w:rFonts w:ascii="Times New Roman" w:hAnsi="Times New Roman"/>
          <w:color w:val="000000"/>
          <w:sz w:val="24"/>
          <w:szCs w:val="24"/>
          <w:lang w:val="en-US"/>
        </w:rPr>
        <w:t>e</w:t>
      </w:r>
      <w:r w:rsidR="00BD3DAB" w:rsidRPr="00F66191">
        <w:rPr>
          <w:rFonts w:ascii="Times New Roman" w:hAnsi="Times New Roman"/>
          <w:color w:val="000000"/>
          <w:sz w:val="24"/>
          <w:szCs w:val="24"/>
        </w:rPr>
        <w:t>valuation</w:t>
      </w:r>
    </w:p>
    <w:p w14:paraId="550241F4" w14:textId="77777777" w:rsidR="00CF2064" w:rsidRPr="003F2C03" w:rsidRDefault="00CF2064" w:rsidP="00F66191">
      <w:pPr>
        <w:tabs>
          <w:tab w:val="left" w:pos="180"/>
          <w:tab w:val="left" w:pos="360"/>
        </w:tabs>
        <w:ind w:left="363" w:right="900"/>
        <w:jc w:val="both"/>
        <w:rPr>
          <w:lang w:val="en-GB"/>
        </w:rPr>
      </w:pPr>
    </w:p>
    <w:p w14:paraId="28187EB7" w14:textId="15842B05" w:rsidR="00857B70" w:rsidRPr="003F2C03" w:rsidRDefault="00857B70" w:rsidP="00172FEE">
      <w:pPr>
        <w:pStyle w:val="ListParagraph"/>
        <w:numPr>
          <w:ilvl w:val="0"/>
          <w:numId w:val="45"/>
        </w:numPr>
        <w:tabs>
          <w:tab w:val="left" w:pos="180"/>
          <w:tab w:val="left" w:pos="360"/>
        </w:tabs>
        <w:spacing w:after="120"/>
        <w:ind w:left="0" w:right="900" w:firstLine="0"/>
        <w:jc w:val="both"/>
        <w:rPr>
          <w:lang w:val="en-GB"/>
        </w:rPr>
      </w:pPr>
      <w:r w:rsidRPr="003F2C03">
        <w:rPr>
          <w:color w:val="000000" w:themeColor="text1"/>
        </w:rPr>
        <w:t>Outcome and output indicators have been carefully selected to ensure that they can be monitored regular</w:t>
      </w:r>
      <w:r w:rsidR="00286E6A">
        <w:rPr>
          <w:color w:val="000000" w:themeColor="text1"/>
        </w:rPr>
        <w:t>ly</w:t>
      </w:r>
      <w:r w:rsidRPr="003F2C03">
        <w:rPr>
          <w:color w:val="000000" w:themeColor="text1"/>
        </w:rPr>
        <w:t xml:space="preserve">. Some baseline data and targets will be finalized in 2016 and 2017, in consultation with the national partners. </w:t>
      </w:r>
    </w:p>
    <w:p w14:paraId="32ED69E6" w14:textId="2AACF3D3" w:rsidR="00BD3DAB" w:rsidRPr="007322E0" w:rsidRDefault="007D511D" w:rsidP="00172FEE">
      <w:pPr>
        <w:tabs>
          <w:tab w:val="left" w:pos="180"/>
          <w:tab w:val="left" w:pos="360"/>
          <w:tab w:val="left" w:pos="720"/>
        </w:tabs>
        <w:spacing w:after="120"/>
        <w:ind w:right="900"/>
        <w:jc w:val="both"/>
        <w:rPr>
          <w:lang w:val="en-GB"/>
        </w:rPr>
      </w:pPr>
      <w:r>
        <w:t>31.</w:t>
      </w:r>
      <w:r w:rsidR="007322E0">
        <w:tab/>
      </w:r>
      <w:r w:rsidR="00E429AE" w:rsidRPr="003F2C03">
        <w:t xml:space="preserve">To ensure </w:t>
      </w:r>
      <w:r w:rsidR="00C819D8" w:rsidRPr="003F2C03">
        <w:t>that programmatic</w:t>
      </w:r>
      <w:r w:rsidR="00E429AE" w:rsidRPr="003F2C03">
        <w:t xml:space="preserve"> decisions, monitoring and reporting are evidence</w:t>
      </w:r>
      <w:r w:rsidR="00286E6A">
        <w:t xml:space="preserve"> </w:t>
      </w:r>
      <w:r w:rsidR="00E429AE" w:rsidRPr="003F2C03">
        <w:t xml:space="preserve">based, UNDP will rely on </w:t>
      </w:r>
      <w:r w:rsidR="00286E6A">
        <w:t>high-</w:t>
      </w:r>
      <w:r w:rsidR="00E429AE" w:rsidRPr="003F2C03">
        <w:t>quality</w:t>
      </w:r>
      <w:r w:rsidR="00286E6A">
        <w:t xml:space="preserve"> and</w:t>
      </w:r>
      <w:r w:rsidR="00E429AE" w:rsidRPr="003F2C03">
        <w:t xml:space="preserve"> timely </w:t>
      </w:r>
      <w:r w:rsidR="00286E6A">
        <w:t>data</w:t>
      </w:r>
      <w:r w:rsidR="00E429AE" w:rsidRPr="003F2C03">
        <w:t xml:space="preserve"> </w:t>
      </w:r>
      <w:r w:rsidR="00EE4A4D" w:rsidRPr="003F2C03">
        <w:t>disaggregated by sex and age</w:t>
      </w:r>
      <w:r w:rsidR="00E429AE" w:rsidRPr="003F2C03">
        <w:t xml:space="preserve">. The capacities of </w:t>
      </w:r>
      <w:r w:rsidR="0001082B" w:rsidRPr="003F2C03">
        <w:t xml:space="preserve">the </w:t>
      </w:r>
      <w:r w:rsidR="00E429AE" w:rsidRPr="003F2C03">
        <w:t xml:space="preserve">Statistical Institute will be strengthened in producing and disseminating a growing variety of data that meet user needs and inform decision-making. In addition, capacities of partners in using statistics and other information sources </w:t>
      </w:r>
      <w:r w:rsidR="00074A83" w:rsidRPr="003F2C03">
        <w:t>in policy and programme development will be strengthened</w:t>
      </w:r>
      <w:r w:rsidR="00E61C94">
        <w:t>,</w:t>
      </w:r>
      <w:r w:rsidR="00074A83" w:rsidRPr="003F2C03">
        <w:t xml:space="preserve"> with particular focus </w:t>
      </w:r>
      <w:r w:rsidR="00E61C94">
        <w:t>on the</w:t>
      </w:r>
      <w:r w:rsidR="00074A83" w:rsidRPr="003F2C03">
        <w:t xml:space="preserve"> SD</w:t>
      </w:r>
      <w:r w:rsidR="00D01A5E" w:rsidRPr="003F2C03">
        <w:t>G</w:t>
      </w:r>
      <w:r w:rsidR="00074A83" w:rsidRPr="003F2C03">
        <w:t>s</w:t>
      </w:r>
      <w:r w:rsidR="00E94FEF" w:rsidRPr="003F2C03">
        <w:t>.</w:t>
      </w:r>
      <w:r w:rsidR="0071395B" w:rsidRPr="007322E0">
        <w:rPr>
          <w:lang w:val="en-GB"/>
        </w:rPr>
        <w:t xml:space="preserve"> </w:t>
      </w:r>
    </w:p>
    <w:p w14:paraId="33093F73" w14:textId="25DD1680" w:rsidR="00BD3DAB" w:rsidRPr="003F2C03" w:rsidRDefault="007322E0" w:rsidP="00172FEE">
      <w:pPr>
        <w:tabs>
          <w:tab w:val="left" w:pos="180"/>
          <w:tab w:val="left" w:pos="360"/>
          <w:tab w:val="left" w:pos="720"/>
        </w:tabs>
        <w:spacing w:after="120"/>
        <w:ind w:right="900"/>
        <w:jc w:val="both"/>
        <w:rPr>
          <w:sz w:val="24"/>
          <w:szCs w:val="24"/>
        </w:rPr>
      </w:pPr>
      <w:r>
        <w:rPr>
          <w:color w:val="000000" w:themeColor="text1"/>
        </w:rPr>
        <w:t>32</w:t>
      </w:r>
      <w:r w:rsidR="007D511D">
        <w:rPr>
          <w:color w:val="000000" w:themeColor="text1"/>
        </w:rPr>
        <w:t>.</w:t>
      </w:r>
      <w:r>
        <w:rPr>
          <w:color w:val="000000" w:themeColor="text1"/>
        </w:rPr>
        <w:tab/>
      </w:r>
      <w:r w:rsidR="00BD3DAB" w:rsidRPr="007322E0">
        <w:rPr>
          <w:color w:val="000000" w:themeColor="text1"/>
        </w:rPr>
        <w:t>UNDP will continue to pr</w:t>
      </w:r>
      <w:r w:rsidR="00A14CEC" w:rsidRPr="007322E0">
        <w:rPr>
          <w:color w:val="000000" w:themeColor="text1"/>
        </w:rPr>
        <w:t xml:space="preserve">ioritize outcome and programme </w:t>
      </w:r>
      <w:r w:rsidR="00E67723" w:rsidRPr="007322E0">
        <w:rPr>
          <w:color w:val="000000" w:themeColor="text1"/>
        </w:rPr>
        <w:t xml:space="preserve">monitoring and </w:t>
      </w:r>
      <w:r w:rsidR="00BD3DAB" w:rsidRPr="007322E0">
        <w:rPr>
          <w:color w:val="000000" w:themeColor="text1"/>
        </w:rPr>
        <w:t>evaluation</w:t>
      </w:r>
      <w:r w:rsidR="00F36EB3" w:rsidRPr="003F2C03">
        <w:t xml:space="preserve"> in order to maximize programme results and address </w:t>
      </w:r>
      <w:r w:rsidR="00E67723" w:rsidRPr="003F2C03">
        <w:t>challenges and opportunities effectively</w:t>
      </w:r>
      <w:r w:rsidR="00BD3DAB" w:rsidRPr="007322E0">
        <w:rPr>
          <w:color w:val="000000" w:themeColor="text1"/>
        </w:rPr>
        <w:t xml:space="preserve">. </w:t>
      </w:r>
      <w:r w:rsidR="00BD3DAB" w:rsidRPr="007322E0">
        <w:rPr>
          <w:color w:val="000000"/>
        </w:rPr>
        <w:t xml:space="preserve">UNDP will </w:t>
      </w:r>
      <w:r w:rsidR="0097498D" w:rsidRPr="007322E0">
        <w:rPr>
          <w:color w:val="000000"/>
        </w:rPr>
        <w:t>promote new</w:t>
      </w:r>
      <w:r w:rsidR="00BD3DAB" w:rsidRPr="007322E0">
        <w:rPr>
          <w:color w:val="000000"/>
        </w:rPr>
        <w:t xml:space="preserve"> tools of information gathering and analysis such as ‘open </w:t>
      </w:r>
      <w:r w:rsidR="00B15661" w:rsidRPr="009304DE">
        <w:rPr>
          <w:color w:val="000000"/>
        </w:rPr>
        <w:t xml:space="preserve">data’ collection, social media and </w:t>
      </w:r>
      <w:r w:rsidR="00BD3DAB" w:rsidRPr="009304DE">
        <w:rPr>
          <w:color w:val="000000"/>
        </w:rPr>
        <w:t>citizen reporting</w:t>
      </w:r>
      <w:r w:rsidR="00B15661" w:rsidRPr="009304DE">
        <w:rPr>
          <w:color w:val="000000"/>
        </w:rPr>
        <w:t>.</w:t>
      </w:r>
      <w:r w:rsidR="00CD1083" w:rsidRPr="0092563D">
        <w:rPr>
          <w:color w:val="000000"/>
        </w:rPr>
        <w:t xml:space="preserve"> </w:t>
      </w:r>
      <w:r w:rsidR="00BD3DAB" w:rsidRPr="003F2C03">
        <w:t xml:space="preserve">Projects will be required to develop </w:t>
      </w:r>
      <w:r w:rsidR="00E61C94">
        <w:t xml:space="preserve">monitoring and evaluation </w:t>
      </w:r>
      <w:r w:rsidR="00BD3DAB" w:rsidRPr="003F2C03">
        <w:t xml:space="preserve">frameworks through an inclusive process and </w:t>
      </w:r>
      <w:r w:rsidR="00E61C94">
        <w:t xml:space="preserve">to </w:t>
      </w:r>
      <w:r w:rsidR="00BD3DAB" w:rsidRPr="003F2C03">
        <w:t xml:space="preserve">regularly monitor activities. </w:t>
      </w:r>
      <w:r w:rsidR="00E61C94">
        <w:t>T</w:t>
      </w:r>
      <w:r w:rsidR="0007598D" w:rsidRPr="003F2C03">
        <w:t xml:space="preserve">he monitoring and evaluation mechanisms will be carried out through </w:t>
      </w:r>
      <w:r w:rsidR="00E61C94">
        <w:t xml:space="preserve">Delivering as </w:t>
      </w:r>
      <w:proofErr w:type="gramStart"/>
      <w:r w:rsidR="00E61C94">
        <w:t>One</w:t>
      </w:r>
      <w:proofErr w:type="gramEnd"/>
      <w:r w:rsidR="0007598D" w:rsidRPr="003F2C03">
        <w:t>, under the 2017-2021 UNDAF.</w:t>
      </w:r>
    </w:p>
    <w:p w14:paraId="04D3E690" w14:textId="77777777" w:rsidR="00B465EE" w:rsidRPr="003F2C03" w:rsidRDefault="00B465EE" w:rsidP="00BD3DAB">
      <w:pPr>
        <w:jc w:val="both"/>
        <w:sectPr w:rsidR="00B465EE" w:rsidRPr="003F2C03" w:rsidSect="00F66191">
          <w:headerReference w:type="even" r:id="rId12"/>
          <w:headerReference w:type="default" r:id="rId13"/>
          <w:footerReference w:type="even" r:id="rId14"/>
          <w:footerReference w:type="default" r:id="rId15"/>
          <w:headerReference w:type="first" r:id="rId16"/>
          <w:pgSz w:w="12240" w:h="15840"/>
          <w:pgMar w:top="1152" w:right="1440" w:bottom="1152" w:left="1980" w:header="720" w:footer="720" w:gutter="0"/>
          <w:cols w:space="720"/>
          <w:titlePg/>
          <w:docGrid w:linePitch="272"/>
        </w:sectPr>
      </w:pPr>
    </w:p>
    <w:p w14:paraId="5C5B7446" w14:textId="03A83770" w:rsidR="00475A14" w:rsidRPr="00836938" w:rsidRDefault="00475A14" w:rsidP="00475A14">
      <w:pPr>
        <w:pStyle w:val="Heading4"/>
        <w:rPr>
          <w:rFonts w:ascii="Times New Roman" w:hAnsi="Times New Roman"/>
          <w:bCs/>
          <w:i/>
          <w:sz w:val="24"/>
          <w:szCs w:val="24"/>
        </w:rPr>
      </w:pPr>
      <w:r w:rsidRPr="00836938">
        <w:rPr>
          <w:rFonts w:ascii="Times New Roman" w:hAnsi="Times New Roman"/>
          <w:bCs/>
          <w:sz w:val="24"/>
          <w:szCs w:val="24"/>
        </w:rPr>
        <w:lastRenderedPageBreak/>
        <w:t xml:space="preserve">Annex. Results and resources framework for </w:t>
      </w:r>
      <w:r>
        <w:rPr>
          <w:rFonts w:ascii="Times New Roman" w:hAnsi="Times New Roman"/>
          <w:bCs/>
          <w:sz w:val="24"/>
          <w:szCs w:val="24"/>
        </w:rPr>
        <w:t>Montenegro</w:t>
      </w:r>
      <w:r w:rsidRPr="00836938">
        <w:rPr>
          <w:rFonts w:ascii="Times New Roman" w:hAnsi="Times New Roman"/>
          <w:bCs/>
          <w:sz w:val="24"/>
          <w:szCs w:val="24"/>
        </w:rPr>
        <w:t xml:space="preserve"> (2017-2021)</w:t>
      </w:r>
    </w:p>
    <w:p w14:paraId="6267B747" w14:textId="77777777" w:rsidR="0026455B" w:rsidRPr="003F2C03" w:rsidRDefault="0026455B" w:rsidP="00F5321D">
      <w:pPr>
        <w:keepNext/>
        <w:outlineLvl w:val="3"/>
        <w:rPr>
          <w:b/>
          <w:bCs/>
          <w:color w:val="000000"/>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1"/>
        <w:gridCol w:w="1845"/>
        <w:gridCol w:w="4251"/>
        <w:gridCol w:w="1591"/>
        <w:gridCol w:w="254"/>
        <w:gridCol w:w="21"/>
        <w:gridCol w:w="2154"/>
      </w:tblGrid>
      <w:tr w:rsidR="00857B70" w:rsidRPr="003F2C03" w14:paraId="17FE2591" w14:textId="77777777" w:rsidTr="00B83412">
        <w:tc>
          <w:tcPr>
            <w:tcW w:w="5000" w:type="pct"/>
            <w:gridSpan w:val="7"/>
            <w:shd w:val="clear" w:color="auto" w:fill="auto"/>
            <w:tcMar>
              <w:top w:w="72" w:type="dxa"/>
              <w:left w:w="144" w:type="dxa"/>
              <w:bottom w:w="72" w:type="dxa"/>
              <w:right w:w="144" w:type="dxa"/>
            </w:tcMar>
          </w:tcPr>
          <w:p w14:paraId="51D94A24" w14:textId="1481CC20" w:rsidR="00857B70" w:rsidRPr="003F2C03" w:rsidRDefault="00857B70" w:rsidP="00F5321D">
            <w:pPr>
              <w:rPr>
                <w:color w:val="000000"/>
                <w:sz w:val="16"/>
                <w:szCs w:val="16"/>
              </w:rPr>
            </w:pPr>
            <w:r w:rsidRPr="003F2C03">
              <w:rPr>
                <w:b/>
                <w:bCs/>
                <w:color w:val="000000"/>
                <w:sz w:val="16"/>
                <w:szCs w:val="16"/>
                <w:lang w:val="en-GB"/>
              </w:rPr>
              <w:t xml:space="preserve">NATIONAL PRIORITY OR GOAL: </w:t>
            </w:r>
            <w:r w:rsidRPr="00FA2BA3">
              <w:rPr>
                <w:bCs/>
                <w:color w:val="000000"/>
                <w:sz w:val="16"/>
                <w:szCs w:val="16"/>
                <w:lang w:val="en-GB"/>
              </w:rPr>
              <w:t xml:space="preserve">Related to SDG 16 – Peace, </w:t>
            </w:r>
            <w:r w:rsidR="00940942" w:rsidRPr="00FA2BA3">
              <w:rPr>
                <w:bCs/>
                <w:color w:val="000000"/>
                <w:sz w:val="16"/>
                <w:szCs w:val="16"/>
                <w:lang w:val="en-GB"/>
              </w:rPr>
              <w:t>j</w:t>
            </w:r>
            <w:r w:rsidRPr="00FA2BA3">
              <w:rPr>
                <w:bCs/>
                <w:color w:val="000000"/>
                <w:sz w:val="16"/>
                <w:szCs w:val="16"/>
                <w:lang w:val="en-GB"/>
              </w:rPr>
              <w:t xml:space="preserve">ustice and </w:t>
            </w:r>
            <w:r w:rsidR="00940942" w:rsidRPr="00FA2BA3">
              <w:rPr>
                <w:bCs/>
                <w:color w:val="000000"/>
                <w:sz w:val="16"/>
                <w:szCs w:val="16"/>
                <w:lang w:val="en-GB"/>
              </w:rPr>
              <w:t>i</w:t>
            </w:r>
            <w:r w:rsidRPr="00FA2BA3">
              <w:rPr>
                <w:bCs/>
                <w:color w:val="000000"/>
                <w:sz w:val="16"/>
                <w:szCs w:val="16"/>
                <w:lang w:val="en-GB"/>
              </w:rPr>
              <w:t>nstitutions</w:t>
            </w:r>
            <w:r w:rsidRPr="003F2C03">
              <w:rPr>
                <w:b/>
                <w:bCs/>
                <w:color w:val="000000"/>
                <w:sz w:val="16"/>
                <w:szCs w:val="16"/>
                <w:lang w:val="en-GB"/>
              </w:rPr>
              <w:t xml:space="preserve"> </w:t>
            </w:r>
          </w:p>
        </w:tc>
      </w:tr>
      <w:tr w:rsidR="00857B70" w:rsidRPr="003F2C03" w14:paraId="260C899C" w14:textId="77777777" w:rsidTr="00B83412">
        <w:tc>
          <w:tcPr>
            <w:tcW w:w="5000" w:type="pct"/>
            <w:gridSpan w:val="7"/>
            <w:shd w:val="clear" w:color="auto" w:fill="auto"/>
            <w:tcMar>
              <w:top w:w="72" w:type="dxa"/>
              <w:left w:w="144" w:type="dxa"/>
              <w:bottom w:w="72" w:type="dxa"/>
              <w:right w:w="144" w:type="dxa"/>
            </w:tcMar>
          </w:tcPr>
          <w:p w14:paraId="0BF3E107" w14:textId="74918906" w:rsidR="00857B70" w:rsidRPr="003F2C03" w:rsidRDefault="00857B70" w:rsidP="008227E8">
            <w:pPr>
              <w:rPr>
                <w:color w:val="000000"/>
                <w:sz w:val="16"/>
                <w:szCs w:val="16"/>
                <w:lang w:val="en-GB"/>
              </w:rPr>
            </w:pPr>
            <w:r w:rsidRPr="003F2C03">
              <w:rPr>
                <w:b/>
                <w:bCs/>
                <w:color w:val="000000"/>
                <w:sz w:val="16"/>
                <w:szCs w:val="16"/>
                <w:lang w:val="en-GB"/>
              </w:rPr>
              <w:t>UNDAF (OR EQUIVALENT) OUTCOME INVOLVING UNDP</w:t>
            </w:r>
            <w:r w:rsidR="0092563D">
              <w:rPr>
                <w:b/>
                <w:bCs/>
                <w:color w:val="000000"/>
                <w:sz w:val="16"/>
                <w:szCs w:val="16"/>
                <w:lang w:val="en-GB"/>
              </w:rPr>
              <w:t xml:space="preserve">: </w:t>
            </w:r>
            <w:r w:rsidRPr="00FA2BA3">
              <w:rPr>
                <w:bCs/>
                <w:color w:val="000000"/>
                <w:sz w:val="16"/>
                <w:szCs w:val="16"/>
                <w:lang w:val="en-GB"/>
              </w:rPr>
              <w:t>1</w:t>
            </w:r>
            <w:r w:rsidR="0092563D" w:rsidRPr="00FA2BA3">
              <w:rPr>
                <w:bCs/>
                <w:color w:val="000000"/>
                <w:sz w:val="16"/>
                <w:szCs w:val="16"/>
                <w:lang w:val="en-GB"/>
              </w:rPr>
              <w:t>.</w:t>
            </w:r>
            <w:r w:rsidRPr="003F2C03">
              <w:rPr>
                <w:color w:val="000000"/>
                <w:sz w:val="16"/>
                <w:szCs w:val="16"/>
                <w:lang w:val="en-GB"/>
              </w:rPr>
              <w:t xml:space="preserve"> By 2021, accountable, transparent and effective judiciary, public administration at central and local level, Parliament and independent institutions ensure security</w:t>
            </w:r>
            <w:r w:rsidR="004B4840">
              <w:rPr>
                <w:color w:val="000000"/>
                <w:sz w:val="16"/>
                <w:szCs w:val="16"/>
                <w:lang w:val="en-GB"/>
              </w:rPr>
              <w:t xml:space="preserve">, </w:t>
            </w:r>
            <w:r w:rsidRPr="003F2C03">
              <w:rPr>
                <w:color w:val="000000"/>
                <w:sz w:val="16"/>
                <w:szCs w:val="16"/>
                <w:lang w:val="en-GB"/>
              </w:rPr>
              <w:t>development</w:t>
            </w:r>
            <w:r w:rsidR="008227E8">
              <w:rPr>
                <w:color w:val="000000"/>
                <w:sz w:val="16"/>
                <w:szCs w:val="16"/>
                <w:lang w:val="en-GB"/>
              </w:rPr>
              <w:t>,</w:t>
            </w:r>
            <w:r w:rsidR="004B4840">
              <w:rPr>
                <w:color w:val="000000"/>
                <w:sz w:val="16"/>
                <w:szCs w:val="16"/>
                <w:lang w:val="en-GB"/>
              </w:rPr>
              <w:t xml:space="preserve"> </w:t>
            </w:r>
            <w:r w:rsidRPr="003F2C03">
              <w:rPr>
                <w:color w:val="000000"/>
                <w:sz w:val="16"/>
                <w:szCs w:val="16"/>
                <w:lang w:val="en-GB"/>
              </w:rPr>
              <w:t xml:space="preserve">equal access to justice and quality public services </w:t>
            </w:r>
            <w:r w:rsidR="008227E8">
              <w:rPr>
                <w:color w:val="000000"/>
                <w:sz w:val="16"/>
                <w:szCs w:val="16"/>
                <w:lang w:val="en-GB"/>
              </w:rPr>
              <w:t>for</w:t>
            </w:r>
            <w:r w:rsidR="008227E8" w:rsidRPr="003F2C03">
              <w:rPr>
                <w:color w:val="000000"/>
                <w:sz w:val="16"/>
                <w:szCs w:val="16"/>
                <w:lang w:val="en-GB"/>
              </w:rPr>
              <w:t xml:space="preserve"> </w:t>
            </w:r>
            <w:r w:rsidRPr="003F2C03">
              <w:rPr>
                <w:color w:val="000000"/>
                <w:sz w:val="16"/>
                <w:szCs w:val="16"/>
                <w:lang w:val="en-GB"/>
              </w:rPr>
              <w:t>all people, focusing on enhancing human rights</w:t>
            </w:r>
            <w:r w:rsidR="00893942">
              <w:rPr>
                <w:color w:val="000000"/>
                <w:sz w:val="16"/>
                <w:szCs w:val="16"/>
                <w:lang w:val="en-GB"/>
              </w:rPr>
              <w:t>.</w:t>
            </w:r>
            <w:r w:rsidRPr="003F2C03">
              <w:rPr>
                <w:color w:val="000000"/>
                <w:sz w:val="16"/>
                <w:szCs w:val="16"/>
                <w:lang w:val="en-GB"/>
              </w:rPr>
              <w:t xml:space="preserve"> </w:t>
            </w:r>
          </w:p>
        </w:tc>
      </w:tr>
      <w:tr w:rsidR="00857B70" w:rsidRPr="003F2C03" w14:paraId="2BDFE46F" w14:textId="77777777" w:rsidTr="00B83412">
        <w:tc>
          <w:tcPr>
            <w:tcW w:w="5000" w:type="pct"/>
            <w:gridSpan w:val="7"/>
            <w:shd w:val="clear" w:color="auto" w:fill="auto"/>
            <w:tcMar>
              <w:top w:w="72" w:type="dxa"/>
              <w:left w:w="144" w:type="dxa"/>
              <w:bottom w:w="72" w:type="dxa"/>
              <w:right w:w="144" w:type="dxa"/>
            </w:tcMar>
          </w:tcPr>
          <w:p w14:paraId="4A07E4C3" w14:textId="4311D358" w:rsidR="00857B70" w:rsidRPr="003F2C03" w:rsidRDefault="00857B70" w:rsidP="00C5492B">
            <w:pPr>
              <w:rPr>
                <w:b/>
                <w:bCs/>
                <w:color w:val="000000"/>
                <w:sz w:val="16"/>
                <w:szCs w:val="16"/>
                <w:lang w:val="en-GB"/>
              </w:rPr>
            </w:pPr>
            <w:r w:rsidRPr="003F2C03">
              <w:rPr>
                <w:b/>
                <w:bCs/>
                <w:color w:val="000000"/>
                <w:sz w:val="16"/>
                <w:szCs w:val="16"/>
                <w:lang w:val="en-GB"/>
              </w:rPr>
              <w:t>RELATED STRATEGIC PLAN OUTCOME (Strategic Plan 2014-2017)</w:t>
            </w:r>
            <w:r w:rsidR="00C5492B">
              <w:rPr>
                <w:b/>
                <w:bCs/>
                <w:color w:val="000000"/>
                <w:sz w:val="16"/>
                <w:szCs w:val="16"/>
                <w:lang w:val="en-GB"/>
              </w:rPr>
              <w:t>:</w:t>
            </w:r>
            <w:r w:rsidRPr="003F2C03">
              <w:rPr>
                <w:b/>
                <w:bCs/>
                <w:color w:val="000000"/>
                <w:sz w:val="16"/>
                <w:szCs w:val="16"/>
                <w:lang w:val="en-GB"/>
              </w:rPr>
              <w:t xml:space="preserve">  Outcome 2: Citizens</w:t>
            </w:r>
            <w:r w:rsidR="00940942">
              <w:rPr>
                <w:b/>
                <w:bCs/>
                <w:color w:val="000000"/>
                <w:sz w:val="16"/>
                <w:szCs w:val="16"/>
                <w:lang w:val="en-GB"/>
              </w:rPr>
              <w:t>’</w:t>
            </w:r>
            <w:r w:rsidRPr="003F2C03">
              <w:rPr>
                <w:b/>
                <w:bCs/>
                <w:color w:val="000000"/>
                <w:sz w:val="16"/>
                <w:szCs w:val="16"/>
                <w:lang w:val="en-GB"/>
              </w:rPr>
              <w:t xml:space="preserve"> expectations for voice, development, the rule of law and accountability are met by stronger systems of democratic governance</w:t>
            </w:r>
            <w:r w:rsidR="00893942">
              <w:rPr>
                <w:b/>
                <w:bCs/>
                <w:color w:val="000000"/>
                <w:sz w:val="16"/>
                <w:szCs w:val="16"/>
                <w:lang w:val="en-GB"/>
              </w:rPr>
              <w:t>.</w:t>
            </w:r>
          </w:p>
        </w:tc>
      </w:tr>
      <w:tr w:rsidR="00857B70" w:rsidRPr="003F2C03" w14:paraId="74A787FC" w14:textId="77777777" w:rsidTr="00B83412">
        <w:tc>
          <w:tcPr>
            <w:tcW w:w="1135" w:type="pct"/>
            <w:shd w:val="clear" w:color="auto" w:fill="auto"/>
            <w:tcMar>
              <w:top w:w="72" w:type="dxa"/>
              <w:left w:w="144" w:type="dxa"/>
              <w:bottom w:w="72" w:type="dxa"/>
              <w:right w:w="144" w:type="dxa"/>
            </w:tcMar>
            <w:vAlign w:val="center"/>
          </w:tcPr>
          <w:p w14:paraId="474B36C3" w14:textId="77777777" w:rsidR="00857B70" w:rsidRPr="003F2C03" w:rsidRDefault="00857B70" w:rsidP="00F5321D">
            <w:pPr>
              <w:rPr>
                <w:color w:val="000000"/>
                <w:sz w:val="16"/>
                <w:szCs w:val="16"/>
              </w:rPr>
            </w:pPr>
            <w:r w:rsidRPr="003F2C03">
              <w:rPr>
                <w:b/>
                <w:bCs/>
                <w:color w:val="000000"/>
                <w:sz w:val="16"/>
                <w:szCs w:val="16"/>
                <w:lang w:val="en-GB"/>
              </w:rPr>
              <w:t>UNDAF OUTCOME INDICATOR(S), BASELINES, TARGET(S)</w:t>
            </w:r>
          </w:p>
        </w:tc>
        <w:tc>
          <w:tcPr>
            <w:tcW w:w="705" w:type="pct"/>
            <w:shd w:val="clear" w:color="auto" w:fill="auto"/>
            <w:vAlign w:val="center"/>
          </w:tcPr>
          <w:p w14:paraId="2B80B8C6" w14:textId="77777777" w:rsidR="00857B70" w:rsidRPr="003F2C03" w:rsidRDefault="00857B70" w:rsidP="00F5321D">
            <w:pPr>
              <w:rPr>
                <w:b/>
                <w:color w:val="000000"/>
                <w:sz w:val="16"/>
                <w:szCs w:val="16"/>
              </w:rPr>
            </w:pPr>
            <w:r w:rsidRPr="003F2C03">
              <w:rPr>
                <w:b/>
                <w:color w:val="000000"/>
                <w:sz w:val="16"/>
                <w:szCs w:val="16"/>
              </w:rPr>
              <w:t>DATA SOURCE AND FREQUENCY OF DATA COLLECTION, AND RESPONSIBILITIES</w:t>
            </w:r>
          </w:p>
        </w:tc>
        <w:tc>
          <w:tcPr>
            <w:tcW w:w="1624" w:type="pct"/>
            <w:shd w:val="clear" w:color="auto" w:fill="auto"/>
            <w:tcMar>
              <w:top w:w="72" w:type="dxa"/>
              <w:left w:w="144" w:type="dxa"/>
              <w:bottom w:w="72" w:type="dxa"/>
              <w:right w:w="144" w:type="dxa"/>
            </w:tcMar>
            <w:vAlign w:val="center"/>
          </w:tcPr>
          <w:p w14:paraId="043D46EB" w14:textId="77777777" w:rsidR="00857B70" w:rsidRPr="003F2C03" w:rsidRDefault="00857B70" w:rsidP="00F5321D">
            <w:pPr>
              <w:rPr>
                <w:color w:val="000000"/>
                <w:sz w:val="16"/>
                <w:szCs w:val="16"/>
              </w:rPr>
            </w:pPr>
            <w:r w:rsidRPr="003F2C03">
              <w:rPr>
                <w:b/>
                <w:bCs/>
                <w:color w:val="000000"/>
                <w:sz w:val="16"/>
                <w:szCs w:val="16"/>
                <w:lang w:val="en-GB"/>
              </w:rPr>
              <w:t xml:space="preserve">INDICATIVE COUNTRY PROGRAMME OUTPUTS </w:t>
            </w:r>
          </w:p>
        </w:tc>
        <w:tc>
          <w:tcPr>
            <w:tcW w:w="713" w:type="pct"/>
            <w:gridSpan w:val="3"/>
            <w:shd w:val="clear" w:color="auto" w:fill="auto"/>
            <w:vAlign w:val="center"/>
          </w:tcPr>
          <w:p w14:paraId="3DD667AF" w14:textId="77777777" w:rsidR="00857B70" w:rsidRPr="003F2C03" w:rsidRDefault="00857B70" w:rsidP="00F5321D">
            <w:pPr>
              <w:rPr>
                <w:b/>
                <w:bCs/>
                <w:color w:val="000000"/>
                <w:sz w:val="16"/>
                <w:szCs w:val="16"/>
                <w:lang w:val="en-GB"/>
              </w:rPr>
            </w:pPr>
            <w:r w:rsidRPr="003F2C03">
              <w:rPr>
                <w:b/>
                <w:bCs/>
                <w:color w:val="000000"/>
                <w:sz w:val="16"/>
                <w:szCs w:val="16"/>
                <w:lang w:val="en-GB"/>
              </w:rPr>
              <w:t>MAJOR PARTNERS / PARTNERSHIPS</w:t>
            </w:r>
          </w:p>
          <w:p w14:paraId="655474E5" w14:textId="77777777" w:rsidR="00857B70" w:rsidRPr="003F2C03" w:rsidRDefault="00857B70" w:rsidP="00F5321D">
            <w:pPr>
              <w:rPr>
                <w:b/>
                <w:bCs/>
                <w:color w:val="000000"/>
                <w:sz w:val="16"/>
                <w:szCs w:val="16"/>
                <w:lang w:val="en-GB"/>
              </w:rPr>
            </w:pPr>
            <w:r w:rsidRPr="003F2C03">
              <w:rPr>
                <w:b/>
                <w:bCs/>
                <w:color w:val="000000"/>
                <w:sz w:val="16"/>
                <w:szCs w:val="16"/>
                <w:lang w:val="en-GB"/>
              </w:rPr>
              <w:t>FRAMEWORKS</w:t>
            </w:r>
          </w:p>
        </w:tc>
        <w:tc>
          <w:tcPr>
            <w:tcW w:w="823" w:type="pct"/>
            <w:tcBorders>
              <w:bottom w:val="single" w:sz="4" w:space="0" w:color="auto"/>
            </w:tcBorders>
            <w:shd w:val="clear" w:color="auto" w:fill="auto"/>
            <w:tcMar>
              <w:top w:w="15" w:type="dxa"/>
              <w:left w:w="108" w:type="dxa"/>
              <w:bottom w:w="0" w:type="dxa"/>
              <w:right w:w="108" w:type="dxa"/>
            </w:tcMar>
            <w:vAlign w:val="center"/>
          </w:tcPr>
          <w:p w14:paraId="74156A9A" w14:textId="27AD5020" w:rsidR="00857B70" w:rsidRPr="003F2C03" w:rsidRDefault="00857B70" w:rsidP="00F5321D">
            <w:pPr>
              <w:rPr>
                <w:b/>
                <w:bCs/>
                <w:color w:val="000000"/>
                <w:sz w:val="16"/>
                <w:szCs w:val="16"/>
                <w:lang w:val="en-GB"/>
              </w:rPr>
            </w:pPr>
            <w:r w:rsidRPr="003F2C03">
              <w:rPr>
                <w:b/>
                <w:bCs/>
                <w:color w:val="000000"/>
                <w:sz w:val="16"/>
                <w:szCs w:val="16"/>
                <w:lang w:val="en-GB"/>
              </w:rPr>
              <w:t>INDICATIVE RESOURCES BY OUT</w:t>
            </w:r>
            <w:r w:rsidR="00A71FFA">
              <w:rPr>
                <w:b/>
                <w:bCs/>
                <w:color w:val="000000"/>
                <w:sz w:val="16"/>
                <w:szCs w:val="16"/>
                <w:lang w:val="en-GB"/>
              </w:rPr>
              <w:t>COME (</w:t>
            </w:r>
            <w:r w:rsidRPr="003F2C03">
              <w:rPr>
                <w:b/>
                <w:bCs/>
                <w:color w:val="000000"/>
                <w:sz w:val="16"/>
                <w:szCs w:val="16"/>
                <w:lang w:val="en-GB"/>
              </w:rPr>
              <w:t>$)</w:t>
            </w:r>
          </w:p>
        </w:tc>
      </w:tr>
      <w:tr w:rsidR="008A70DD" w:rsidRPr="003F2C03" w14:paraId="4217B798" w14:textId="77777777" w:rsidTr="00B83412">
        <w:tc>
          <w:tcPr>
            <w:tcW w:w="1135" w:type="pct"/>
            <w:vMerge w:val="restart"/>
            <w:tcMar>
              <w:top w:w="72" w:type="dxa"/>
              <w:left w:w="144" w:type="dxa"/>
              <w:bottom w:w="72" w:type="dxa"/>
              <w:right w:w="144" w:type="dxa"/>
            </w:tcMar>
          </w:tcPr>
          <w:p w14:paraId="5A18BA11" w14:textId="0F806997" w:rsidR="008A70DD" w:rsidRPr="003F2C03" w:rsidRDefault="008A70DD" w:rsidP="00F5321D">
            <w:pPr>
              <w:rPr>
                <w:b/>
                <w:bCs/>
                <w:sz w:val="16"/>
                <w:szCs w:val="16"/>
              </w:rPr>
            </w:pPr>
            <w:r w:rsidRPr="003F2C03">
              <w:rPr>
                <w:b/>
                <w:bCs/>
                <w:sz w:val="16"/>
                <w:szCs w:val="16"/>
              </w:rPr>
              <w:t xml:space="preserve">1. Worldwide </w:t>
            </w:r>
            <w:r w:rsidR="00940942">
              <w:rPr>
                <w:b/>
                <w:bCs/>
                <w:sz w:val="16"/>
                <w:szCs w:val="16"/>
              </w:rPr>
              <w:t>g</w:t>
            </w:r>
            <w:r w:rsidRPr="003F2C03">
              <w:rPr>
                <w:b/>
                <w:bCs/>
                <w:sz w:val="16"/>
                <w:szCs w:val="16"/>
              </w:rPr>
              <w:t xml:space="preserve">overnance </w:t>
            </w:r>
            <w:r w:rsidR="00940942">
              <w:rPr>
                <w:b/>
                <w:bCs/>
                <w:sz w:val="16"/>
                <w:szCs w:val="16"/>
              </w:rPr>
              <w:t>i</w:t>
            </w:r>
            <w:r w:rsidRPr="003F2C03">
              <w:rPr>
                <w:b/>
                <w:bCs/>
                <w:sz w:val="16"/>
                <w:szCs w:val="16"/>
              </w:rPr>
              <w:t xml:space="preserve">ndicators </w:t>
            </w:r>
          </w:p>
          <w:p w14:paraId="01A71132" w14:textId="77777777" w:rsidR="008A70DD" w:rsidRPr="00AA7688" w:rsidRDefault="008A70DD" w:rsidP="00F5321D">
            <w:pPr>
              <w:rPr>
                <w:sz w:val="16"/>
                <w:szCs w:val="16"/>
              </w:rPr>
            </w:pPr>
          </w:p>
          <w:p w14:paraId="014B57AD" w14:textId="4C5F82B2" w:rsidR="008A70DD" w:rsidRPr="00AA7688" w:rsidRDefault="008A70DD" w:rsidP="00F5321D">
            <w:pPr>
              <w:rPr>
                <w:b/>
                <w:sz w:val="16"/>
                <w:szCs w:val="16"/>
              </w:rPr>
            </w:pPr>
            <w:r w:rsidRPr="00AA7688">
              <w:rPr>
                <w:b/>
                <w:sz w:val="16"/>
                <w:szCs w:val="16"/>
              </w:rPr>
              <w:t>Baseline (2014)</w:t>
            </w:r>
          </w:p>
          <w:p w14:paraId="426F3747" w14:textId="18933D51" w:rsidR="008A70DD" w:rsidRPr="003F2C03" w:rsidRDefault="008A70DD" w:rsidP="00F5321D">
            <w:pPr>
              <w:rPr>
                <w:sz w:val="16"/>
                <w:szCs w:val="16"/>
              </w:rPr>
            </w:pPr>
            <w:r w:rsidRPr="003F2C03">
              <w:rPr>
                <w:sz w:val="16"/>
                <w:szCs w:val="16"/>
              </w:rPr>
              <w:t>Voice and accountability</w:t>
            </w:r>
            <w:r w:rsidR="00940942">
              <w:rPr>
                <w:sz w:val="16"/>
                <w:szCs w:val="16"/>
              </w:rPr>
              <w:t>:</w:t>
            </w:r>
            <w:r w:rsidRPr="003F2C03">
              <w:rPr>
                <w:sz w:val="16"/>
                <w:szCs w:val="16"/>
              </w:rPr>
              <w:t xml:space="preserve"> 0.18</w:t>
            </w:r>
          </w:p>
          <w:p w14:paraId="3FA8834F" w14:textId="0725D364" w:rsidR="008A70DD" w:rsidRPr="003F2C03" w:rsidRDefault="008A70DD" w:rsidP="00F5321D">
            <w:pPr>
              <w:rPr>
                <w:sz w:val="16"/>
                <w:szCs w:val="16"/>
              </w:rPr>
            </w:pPr>
            <w:r w:rsidRPr="003F2C03">
              <w:rPr>
                <w:sz w:val="16"/>
                <w:szCs w:val="16"/>
              </w:rPr>
              <w:t>Political stability/</w:t>
            </w:r>
            <w:r w:rsidR="00893942">
              <w:rPr>
                <w:sz w:val="16"/>
                <w:szCs w:val="16"/>
              </w:rPr>
              <w:t>a</w:t>
            </w:r>
            <w:r w:rsidRPr="003F2C03">
              <w:rPr>
                <w:sz w:val="16"/>
                <w:szCs w:val="16"/>
              </w:rPr>
              <w:t>bsence of violence</w:t>
            </w:r>
            <w:r w:rsidR="00940942">
              <w:rPr>
                <w:sz w:val="16"/>
                <w:szCs w:val="16"/>
              </w:rPr>
              <w:t>:</w:t>
            </w:r>
            <w:r w:rsidRPr="003F2C03">
              <w:rPr>
                <w:sz w:val="16"/>
                <w:szCs w:val="16"/>
              </w:rPr>
              <w:t xml:space="preserve"> 0.24</w:t>
            </w:r>
          </w:p>
          <w:p w14:paraId="3EC23721" w14:textId="26944778" w:rsidR="008A70DD" w:rsidRPr="003F2C03" w:rsidRDefault="008A70DD" w:rsidP="00F5321D">
            <w:pPr>
              <w:rPr>
                <w:sz w:val="16"/>
                <w:szCs w:val="16"/>
              </w:rPr>
            </w:pPr>
            <w:r w:rsidRPr="003F2C03">
              <w:rPr>
                <w:sz w:val="16"/>
                <w:szCs w:val="16"/>
              </w:rPr>
              <w:t>Government effectiveness</w:t>
            </w:r>
            <w:r w:rsidR="00940942">
              <w:rPr>
                <w:sz w:val="16"/>
                <w:szCs w:val="16"/>
              </w:rPr>
              <w:t>:</w:t>
            </w:r>
            <w:r w:rsidRPr="003F2C03">
              <w:rPr>
                <w:sz w:val="16"/>
                <w:szCs w:val="16"/>
              </w:rPr>
              <w:t xml:space="preserve"> 0.28</w:t>
            </w:r>
          </w:p>
          <w:p w14:paraId="3BC9C721" w14:textId="218696D8" w:rsidR="008A70DD" w:rsidRPr="003F2C03" w:rsidRDefault="008A70DD" w:rsidP="00F5321D">
            <w:pPr>
              <w:rPr>
                <w:sz w:val="16"/>
                <w:szCs w:val="16"/>
              </w:rPr>
            </w:pPr>
            <w:r w:rsidRPr="003F2C03">
              <w:rPr>
                <w:sz w:val="16"/>
                <w:szCs w:val="16"/>
              </w:rPr>
              <w:t>Regulatory quality</w:t>
            </w:r>
            <w:r w:rsidR="00940942">
              <w:rPr>
                <w:sz w:val="16"/>
                <w:szCs w:val="16"/>
              </w:rPr>
              <w:t>:</w:t>
            </w:r>
            <w:r w:rsidRPr="003F2C03">
              <w:rPr>
                <w:sz w:val="16"/>
                <w:szCs w:val="16"/>
              </w:rPr>
              <w:t xml:space="preserve"> 0.12</w:t>
            </w:r>
          </w:p>
          <w:p w14:paraId="46E9042C" w14:textId="512B45F2" w:rsidR="008A70DD" w:rsidRPr="003F2C03" w:rsidRDefault="008A70DD" w:rsidP="00F5321D">
            <w:pPr>
              <w:rPr>
                <w:sz w:val="16"/>
                <w:szCs w:val="16"/>
              </w:rPr>
            </w:pPr>
            <w:r w:rsidRPr="003F2C03">
              <w:rPr>
                <w:sz w:val="16"/>
                <w:szCs w:val="16"/>
              </w:rPr>
              <w:t xml:space="preserve">Rule of </w:t>
            </w:r>
            <w:r w:rsidR="00940942">
              <w:rPr>
                <w:sz w:val="16"/>
                <w:szCs w:val="16"/>
              </w:rPr>
              <w:t>l</w:t>
            </w:r>
            <w:r w:rsidRPr="003F2C03">
              <w:rPr>
                <w:sz w:val="16"/>
                <w:szCs w:val="16"/>
              </w:rPr>
              <w:t>aw</w:t>
            </w:r>
            <w:r w:rsidR="00940942">
              <w:rPr>
                <w:sz w:val="16"/>
                <w:szCs w:val="16"/>
              </w:rPr>
              <w:t>:</w:t>
            </w:r>
            <w:r w:rsidRPr="003F2C03">
              <w:rPr>
                <w:sz w:val="16"/>
                <w:szCs w:val="16"/>
              </w:rPr>
              <w:t xml:space="preserve"> 0.07</w:t>
            </w:r>
          </w:p>
          <w:p w14:paraId="7451D4E3" w14:textId="04272B9C" w:rsidR="008A70DD" w:rsidRPr="003F2C03" w:rsidRDefault="008A70DD" w:rsidP="00F5321D">
            <w:pPr>
              <w:rPr>
                <w:sz w:val="16"/>
                <w:szCs w:val="16"/>
              </w:rPr>
            </w:pPr>
            <w:r w:rsidRPr="003F2C03">
              <w:rPr>
                <w:sz w:val="16"/>
                <w:szCs w:val="16"/>
              </w:rPr>
              <w:t>Control of corruption</w:t>
            </w:r>
            <w:r w:rsidR="00940942">
              <w:rPr>
                <w:sz w:val="16"/>
                <w:szCs w:val="16"/>
              </w:rPr>
              <w:t xml:space="preserve">: </w:t>
            </w:r>
            <w:r w:rsidRPr="003F2C03">
              <w:rPr>
                <w:sz w:val="16"/>
                <w:szCs w:val="16"/>
              </w:rPr>
              <w:t>-0.01</w:t>
            </w:r>
          </w:p>
          <w:p w14:paraId="0260FE8E" w14:textId="6DC0B937" w:rsidR="008A70DD" w:rsidRPr="00AA7688" w:rsidRDefault="008A70DD" w:rsidP="00F5321D">
            <w:pPr>
              <w:rPr>
                <w:b/>
                <w:sz w:val="16"/>
                <w:szCs w:val="16"/>
              </w:rPr>
            </w:pPr>
            <w:r w:rsidRPr="00AA7688">
              <w:rPr>
                <w:b/>
                <w:sz w:val="16"/>
                <w:szCs w:val="16"/>
              </w:rPr>
              <w:t>Target (2021)</w:t>
            </w:r>
          </w:p>
          <w:p w14:paraId="5E124B40" w14:textId="17A0AF30" w:rsidR="008A70DD" w:rsidRPr="003F2C03" w:rsidRDefault="008A70DD" w:rsidP="00F5321D">
            <w:pPr>
              <w:rPr>
                <w:sz w:val="16"/>
                <w:szCs w:val="16"/>
              </w:rPr>
            </w:pPr>
            <w:r w:rsidRPr="003F2C03">
              <w:rPr>
                <w:sz w:val="16"/>
                <w:szCs w:val="16"/>
              </w:rPr>
              <w:t>Voice and accountability</w:t>
            </w:r>
            <w:r w:rsidR="00940942">
              <w:rPr>
                <w:sz w:val="16"/>
                <w:szCs w:val="16"/>
              </w:rPr>
              <w:t>:</w:t>
            </w:r>
            <w:r w:rsidRPr="003F2C03">
              <w:rPr>
                <w:sz w:val="16"/>
                <w:szCs w:val="16"/>
              </w:rPr>
              <w:t xml:space="preserve"> 0.30</w:t>
            </w:r>
          </w:p>
          <w:p w14:paraId="7EDDC2E5" w14:textId="158E6001" w:rsidR="008A70DD" w:rsidRPr="003F2C03" w:rsidRDefault="008A70DD" w:rsidP="00F5321D">
            <w:pPr>
              <w:rPr>
                <w:sz w:val="16"/>
                <w:szCs w:val="16"/>
              </w:rPr>
            </w:pPr>
            <w:r w:rsidRPr="003F2C03">
              <w:rPr>
                <w:sz w:val="16"/>
                <w:szCs w:val="16"/>
              </w:rPr>
              <w:t>Political stability/</w:t>
            </w:r>
            <w:r w:rsidR="00940942">
              <w:rPr>
                <w:sz w:val="16"/>
                <w:szCs w:val="16"/>
              </w:rPr>
              <w:t>a</w:t>
            </w:r>
            <w:r w:rsidRPr="003F2C03">
              <w:rPr>
                <w:sz w:val="16"/>
                <w:szCs w:val="16"/>
              </w:rPr>
              <w:t>bsence of violence</w:t>
            </w:r>
            <w:r w:rsidR="00940942">
              <w:rPr>
                <w:sz w:val="16"/>
                <w:szCs w:val="16"/>
              </w:rPr>
              <w:t>:</w:t>
            </w:r>
            <w:r w:rsidRPr="003F2C03">
              <w:rPr>
                <w:sz w:val="16"/>
                <w:szCs w:val="16"/>
              </w:rPr>
              <w:t xml:space="preserve"> 0.60</w:t>
            </w:r>
          </w:p>
          <w:p w14:paraId="1C8ACA92" w14:textId="30C6377C" w:rsidR="008A70DD" w:rsidRPr="003F2C03" w:rsidRDefault="008A70DD" w:rsidP="00F5321D">
            <w:pPr>
              <w:rPr>
                <w:sz w:val="16"/>
                <w:szCs w:val="16"/>
              </w:rPr>
            </w:pPr>
            <w:r w:rsidRPr="003F2C03">
              <w:rPr>
                <w:sz w:val="16"/>
                <w:szCs w:val="16"/>
              </w:rPr>
              <w:t>Government effectiveness</w:t>
            </w:r>
            <w:r w:rsidR="00940942">
              <w:rPr>
                <w:sz w:val="16"/>
                <w:szCs w:val="16"/>
              </w:rPr>
              <w:t>:</w:t>
            </w:r>
            <w:r w:rsidRPr="003F2C03">
              <w:rPr>
                <w:sz w:val="16"/>
                <w:szCs w:val="16"/>
              </w:rPr>
              <w:t xml:space="preserve"> 0.40</w:t>
            </w:r>
          </w:p>
          <w:p w14:paraId="138A14CA" w14:textId="3F4B67F0" w:rsidR="008A70DD" w:rsidRPr="003F2C03" w:rsidRDefault="008A70DD" w:rsidP="00F5321D">
            <w:pPr>
              <w:rPr>
                <w:sz w:val="16"/>
                <w:szCs w:val="16"/>
              </w:rPr>
            </w:pPr>
            <w:r w:rsidRPr="003F2C03">
              <w:rPr>
                <w:sz w:val="16"/>
                <w:szCs w:val="16"/>
              </w:rPr>
              <w:t>Regulatory quality</w:t>
            </w:r>
            <w:r w:rsidR="00940942">
              <w:rPr>
                <w:sz w:val="16"/>
                <w:szCs w:val="16"/>
              </w:rPr>
              <w:t>:</w:t>
            </w:r>
            <w:r w:rsidRPr="003F2C03">
              <w:rPr>
                <w:sz w:val="16"/>
                <w:szCs w:val="16"/>
              </w:rPr>
              <w:t xml:space="preserve"> 0.35</w:t>
            </w:r>
          </w:p>
          <w:p w14:paraId="334C4361" w14:textId="1205C4EE" w:rsidR="008A70DD" w:rsidRPr="003F2C03" w:rsidRDefault="008A70DD" w:rsidP="00F5321D">
            <w:pPr>
              <w:rPr>
                <w:sz w:val="16"/>
                <w:szCs w:val="16"/>
              </w:rPr>
            </w:pPr>
            <w:r w:rsidRPr="003F2C03">
              <w:rPr>
                <w:sz w:val="16"/>
                <w:szCs w:val="16"/>
              </w:rPr>
              <w:t xml:space="preserve">Rule of </w:t>
            </w:r>
            <w:r w:rsidR="00940942">
              <w:rPr>
                <w:sz w:val="16"/>
                <w:szCs w:val="16"/>
              </w:rPr>
              <w:t>l</w:t>
            </w:r>
            <w:r w:rsidRPr="003F2C03">
              <w:rPr>
                <w:sz w:val="16"/>
                <w:szCs w:val="16"/>
              </w:rPr>
              <w:t>aw</w:t>
            </w:r>
            <w:r w:rsidR="00940942">
              <w:rPr>
                <w:sz w:val="16"/>
                <w:szCs w:val="16"/>
              </w:rPr>
              <w:t>:</w:t>
            </w:r>
            <w:r w:rsidRPr="003F2C03">
              <w:rPr>
                <w:sz w:val="16"/>
                <w:szCs w:val="16"/>
              </w:rPr>
              <w:t xml:space="preserve"> 0.25</w:t>
            </w:r>
          </w:p>
          <w:p w14:paraId="0FC1AA58" w14:textId="6E0A3693" w:rsidR="008A70DD" w:rsidRPr="003F2C03" w:rsidRDefault="008A70DD" w:rsidP="00F5321D">
            <w:pPr>
              <w:rPr>
                <w:b/>
                <w:bCs/>
                <w:color w:val="000000"/>
                <w:sz w:val="16"/>
                <w:szCs w:val="16"/>
              </w:rPr>
            </w:pPr>
            <w:r w:rsidRPr="003F2C03">
              <w:rPr>
                <w:sz w:val="16"/>
                <w:szCs w:val="16"/>
              </w:rPr>
              <w:t>Control of corruption</w:t>
            </w:r>
            <w:r w:rsidR="00940942">
              <w:rPr>
                <w:sz w:val="16"/>
                <w:szCs w:val="16"/>
              </w:rPr>
              <w:t>:</w:t>
            </w:r>
            <w:r w:rsidRPr="003F2C03">
              <w:rPr>
                <w:sz w:val="16"/>
                <w:szCs w:val="16"/>
              </w:rPr>
              <w:t xml:space="preserve"> 0.15</w:t>
            </w:r>
          </w:p>
          <w:p w14:paraId="13B0BE19" w14:textId="77777777" w:rsidR="008A70DD" w:rsidRPr="003F2C03" w:rsidRDefault="008A70DD" w:rsidP="00F5321D">
            <w:pPr>
              <w:rPr>
                <w:bCs/>
                <w:i/>
                <w:color w:val="000000"/>
                <w:sz w:val="16"/>
                <w:szCs w:val="16"/>
                <w:lang w:val="en-GB"/>
              </w:rPr>
            </w:pPr>
          </w:p>
          <w:p w14:paraId="62EFEB86" w14:textId="77777777" w:rsidR="00B775DD" w:rsidRPr="003F2C03" w:rsidRDefault="00B775DD" w:rsidP="00F5321D">
            <w:pPr>
              <w:rPr>
                <w:bCs/>
                <w:i/>
                <w:color w:val="000000"/>
                <w:sz w:val="16"/>
                <w:szCs w:val="16"/>
                <w:lang w:val="en-GB"/>
              </w:rPr>
            </w:pPr>
          </w:p>
          <w:p w14:paraId="7E798D89" w14:textId="51A56980" w:rsidR="008A70DD" w:rsidRPr="00AA7688" w:rsidRDefault="00E60EDA" w:rsidP="00E60EDA">
            <w:pPr>
              <w:rPr>
                <w:b/>
                <w:bCs/>
                <w:sz w:val="16"/>
                <w:szCs w:val="16"/>
              </w:rPr>
            </w:pPr>
            <w:r w:rsidRPr="00E60EDA">
              <w:rPr>
                <w:b/>
                <w:bCs/>
                <w:sz w:val="16"/>
                <w:szCs w:val="16"/>
              </w:rPr>
              <w:t>2.</w:t>
            </w:r>
            <w:r>
              <w:rPr>
                <w:b/>
                <w:bCs/>
                <w:sz w:val="16"/>
                <w:szCs w:val="16"/>
              </w:rPr>
              <w:t xml:space="preserve"> </w:t>
            </w:r>
            <w:r w:rsidR="008A70DD" w:rsidRPr="00AA7688">
              <w:rPr>
                <w:b/>
                <w:bCs/>
                <w:sz w:val="16"/>
                <w:szCs w:val="16"/>
              </w:rPr>
              <w:t xml:space="preserve">Democracy </w:t>
            </w:r>
            <w:r w:rsidR="00940942" w:rsidRPr="00AA7688">
              <w:rPr>
                <w:b/>
                <w:bCs/>
                <w:sz w:val="16"/>
                <w:szCs w:val="16"/>
              </w:rPr>
              <w:t>i</w:t>
            </w:r>
            <w:r w:rsidR="008A70DD" w:rsidRPr="00AA7688">
              <w:rPr>
                <w:b/>
                <w:bCs/>
                <w:sz w:val="16"/>
                <w:szCs w:val="16"/>
              </w:rPr>
              <w:t>ndex</w:t>
            </w:r>
          </w:p>
          <w:p w14:paraId="1837B36A" w14:textId="77777777" w:rsidR="008A70DD" w:rsidRPr="003F2C03" w:rsidRDefault="008A70DD" w:rsidP="00F5321D">
            <w:pPr>
              <w:rPr>
                <w:sz w:val="16"/>
                <w:szCs w:val="16"/>
                <w:u w:val="single"/>
              </w:rPr>
            </w:pPr>
          </w:p>
          <w:p w14:paraId="2BEA99B0" w14:textId="77777777" w:rsidR="008A70DD" w:rsidRPr="003F2C03" w:rsidRDefault="008A70DD" w:rsidP="00F5321D">
            <w:pPr>
              <w:rPr>
                <w:sz w:val="16"/>
                <w:szCs w:val="16"/>
              </w:rPr>
            </w:pPr>
            <w:r w:rsidRPr="00AA7688">
              <w:rPr>
                <w:b/>
                <w:sz w:val="16"/>
                <w:szCs w:val="16"/>
              </w:rPr>
              <w:t>Baseline (2014):</w:t>
            </w:r>
            <w:r w:rsidRPr="003F2C03">
              <w:rPr>
                <w:sz w:val="16"/>
                <w:szCs w:val="16"/>
              </w:rPr>
              <w:t xml:space="preserve"> 5.94 / 10</w:t>
            </w:r>
          </w:p>
          <w:p w14:paraId="6216C6E8" w14:textId="77777777" w:rsidR="008A70DD" w:rsidRPr="00E445CA" w:rsidRDefault="008A70DD" w:rsidP="00F5321D">
            <w:pPr>
              <w:rPr>
                <w:sz w:val="16"/>
                <w:szCs w:val="16"/>
              </w:rPr>
            </w:pPr>
            <w:r w:rsidRPr="00AA7688">
              <w:rPr>
                <w:b/>
                <w:sz w:val="16"/>
                <w:szCs w:val="16"/>
              </w:rPr>
              <w:t>Target (2021):</w:t>
            </w:r>
            <w:r w:rsidRPr="00AA7688">
              <w:rPr>
                <w:sz w:val="16"/>
                <w:szCs w:val="16"/>
              </w:rPr>
              <w:t xml:space="preserve"> </w:t>
            </w:r>
            <w:r w:rsidRPr="00E445CA">
              <w:rPr>
                <w:sz w:val="16"/>
                <w:szCs w:val="16"/>
              </w:rPr>
              <w:t>7.0 / 10</w:t>
            </w:r>
          </w:p>
          <w:p w14:paraId="1ED9A78C" w14:textId="77777777" w:rsidR="008A70DD" w:rsidRPr="003F2C03" w:rsidRDefault="008A70DD" w:rsidP="00F5321D">
            <w:pPr>
              <w:rPr>
                <w:sz w:val="16"/>
                <w:szCs w:val="16"/>
              </w:rPr>
            </w:pPr>
          </w:p>
          <w:p w14:paraId="215D5111" w14:textId="77777777" w:rsidR="0028393B" w:rsidRPr="003F2C03" w:rsidRDefault="0028393B" w:rsidP="00F5321D">
            <w:pPr>
              <w:rPr>
                <w:sz w:val="16"/>
                <w:szCs w:val="16"/>
              </w:rPr>
            </w:pPr>
          </w:p>
          <w:p w14:paraId="1EFD639A" w14:textId="482321D7" w:rsidR="008A70DD" w:rsidRPr="003F2C03" w:rsidRDefault="008A70DD" w:rsidP="00F5321D">
            <w:pPr>
              <w:rPr>
                <w:b/>
                <w:bCs/>
                <w:sz w:val="16"/>
                <w:szCs w:val="16"/>
              </w:rPr>
            </w:pPr>
            <w:r w:rsidRPr="003F2C03">
              <w:rPr>
                <w:b/>
                <w:bCs/>
                <w:sz w:val="16"/>
                <w:szCs w:val="16"/>
              </w:rPr>
              <w:t xml:space="preserve">4. Level of preparedness of Montenegro to apply the </w:t>
            </w:r>
            <w:r w:rsidR="00E445CA">
              <w:rPr>
                <w:b/>
                <w:bCs/>
                <w:sz w:val="16"/>
                <w:szCs w:val="16"/>
              </w:rPr>
              <w:t>A</w:t>
            </w:r>
            <w:r w:rsidRPr="003F2C03">
              <w:rPr>
                <w:b/>
                <w:bCs/>
                <w:sz w:val="16"/>
                <w:szCs w:val="16"/>
              </w:rPr>
              <w:t xml:space="preserve">cquis and European standards in the areas covered by </w:t>
            </w:r>
            <w:r w:rsidR="00940942">
              <w:rPr>
                <w:b/>
                <w:bCs/>
                <w:sz w:val="16"/>
                <w:szCs w:val="16"/>
              </w:rPr>
              <w:t>n</w:t>
            </w:r>
            <w:r w:rsidRPr="003F2C03">
              <w:rPr>
                <w:b/>
                <w:bCs/>
                <w:sz w:val="16"/>
                <w:szCs w:val="16"/>
              </w:rPr>
              <w:t>egotiation chapters 23 and 24</w:t>
            </w:r>
          </w:p>
          <w:p w14:paraId="79E2D831" w14:textId="77777777" w:rsidR="008A70DD" w:rsidRPr="003F2C03" w:rsidRDefault="008A70DD" w:rsidP="00F5321D">
            <w:pPr>
              <w:rPr>
                <w:b/>
                <w:bCs/>
                <w:sz w:val="16"/>
                <w:szCs w:val="16"/>
              </w:rPr>
            </w:pPr>
          </w:p>
          <w:p w14:paraId="0E8CDA6C" w14:textId="06D60B80" w:rsidR="008A70DD" w:rsidRPr="00AA7688" w:rsidRDefault="008A70DD" w:rsidP="00F5321D">
            <w:pPr>
              <w:rPr>
                <w:b/>
                <w:sz w:val="16"/>
                <w:szCs w:val="16"/>
              </w:rPr>
            </w:pPr>
            <w:r w:rsidRPr="00AA7688">
              <w:rPr>
                <w:b/>
                <w:sz w:val="16"/>
                <w:szCs w:val="16"/>
              </w:rPr>
              <w:t>Baseline (2015)</w:t>
            </w:r>
          </w:p>
          <w:p w14:paraId="4CA41635" w14:textId="4CD5EBE9" w:rsidR="008A70DD" w:rsidRPr="003F2C03" w:rsidRDefault="008A70DD" w:rsidP="00F5321D">
            <w:pPr>
              <w:rPr>
                <w:sz w:val="16"/>
                <w:szCs w:val="16"/>
              </w:rPr>
            </w:pPr>
            <w:r w:rsidRPr="003F2C03">
              <w:rPr>
                <w:sz w:val="16"/>
                <w:szCs w:val="16"/>
              </w:rPr>
              <w:t xml:space="preserve">Chapter 23: </w:t>
            </w:r>
            <w:r w:rsidR="00E60EDA">
              <w:rPr>
                <w:sz w:val="16"/>
                <w:szCs w:val="16"/>
              </w:rPr>
              <w:t>M</w:t>
            </w:r>
            <w:r w:rsidRPr="003F2C03">
              <w:rPr>
                <w:sz w:val="16"/>
                <w:szCs w:val="16"/>
              </w:rPr>
              <w:t xml:space="preserve">oderately prepared (3) </w:t>
            </w:r>
          </w:p>
          <w:p w14:paraId="4DF4D934" w14:textId="45C82D00" w:rsidR="008A70DD" w:rsidRPr="003F2C03" w:rsidRDefault="008A70DD" w:rsidP="00F5321D">
            <w:pPr>
              <w:rPr>
                <w:sz w:val="16"/>
                <w:szCs w:val="16"/>
              </w:rPr>
            </w:pPr>
            <w:r w:rsidRPr="003F2C03">
              <w:rPr>
                <w:sz w:val="16"/>
                <w:szCs w:val="16"/>
              </w:rPr>
              <w:t xml:space="preserve">Chapter 24: </w:t>
            </w:r>
            <w:r w:rsidR="00E60EDA">
              <w:rPr>
                <w:sz w:val="16"/>
                <w:szCs w:val="16"/>
              </w:rPr>
              <w:t>M</w:t>
            </w:r>
            <w:r w:rsidRPr="003F2C03">
              <w:rPr>
                <w:sz w:val="16"/>
                <w:szCs w:val="16"/>
              </w:rPr>
              <w:t>oderately prepared (3)</w:t>
            </w:r>
          </w:p>
          <w:p w14:paraId="453D7396" w14:textId="2B732D4C" w:rsidR="008A70DD" w:rsidRPr="00AA7688" w:rsidRDefault="008A70DD" w:rsidP="00F5321D">
            <w:pPr>
              <w:rPr>
                <w:b/>
                <w:sz w:val="16"/>
                <w:szCs w:val="16"/>
              </w:rPr>
            </w:pPr>
            <w:r w:rsidRPr="00AA7688">
              <w:rPr>
                <w:b/>
                <w:sz w:val="16"/>
                <w:szCs w:val="16"/>
              </w:rPr>
              <w:t>Target (2021)</w:t>
            </w:r>
          </w:p>
          <w:p w14:paraId="61881735" w14:textId="7C9D7D58" w:rsidR="008A70DD" w:rsidRPr="003F2C03" w:rsidRDefault="008A70DD" w:rsidP="00F5321D">
            <w:pPr>
              <w:rPr>
                <w:sz w:val="16"/>
                <w:szCs w:val="16"/>
              </w:rPr>
            </w:pPr>
            <w:r w:rsidRPr="003F2C03">
              <w:rPr>
                <w:sz w:val="16"/>
                <w:szCs w:val="16"/>
              </w:rPr>
              <w:t xml:space="preserve">Chapter 23: </w:t>
            </w:r>
            <w:r w:rsidR="00E60EDA">
              <w:rPr>
                <w:sz w:val="16"/>
                <w:szCs w:val="16"/>
              </w:rPr>
              <w:t>G</w:t>
            </w:r>
            <w:r w:rsidRPr="003F2C03">
              <w:rPr>
                <w:sz w:val="16"/>
                <w:szCs w:val="16"/>
              </w:rPr>
              <w:t>ood level of preparation (4)</w:t>
            </w:r>
          </w:p>
          <w:p w14:paraId="3CEF44AA" w14:textId="40DE96C6" w:rsidR="008A70DD" w:rsidRPr="003F2C03" w:rsidRDefault="008A70DD" w:rsidP="00F5321D">
            <w:pPr>
              <w:rPr>
                <w:sz w:val="16"/>
                <w:szCs w:val="16"/>
              </w:rPr>
            </w:pPr>
            <w:r w:rsidRPr="003F2C03">
              <w:rPr>
                <w:sz w:val="16"/>
                <w:szCs w:val="16"/>
              </w:rPr>
              <w:t xml:space="preserve">Chapter 24: </w:t>
            </w:r>
            <w:r w:rsidR="00E60EDA">
              <w:rPr>
                <w:sz w:val="16"/>
                <w:szCs w:val="16"/>
              </w:rPr>
              <w:t>G</w:t>
            </w:r>
            <w:r w:rsidRPr="003F2C03">
              <w:rPr>
                <w:sz w:val="16"/>
                <w:szCs w:val="16"/>
              </w:rPr>
              <w:t>ood level of preparation (4)</w:t>
            </w:r>
          </w:p>
          <w:p w14:paraId="3B525F8A" w14:textId="77777777" w:rsidR="00063595" w:rsidRPr="003F2C03" w:rsidRDefault="00063595" w:rsidP="00F5321D">
            <w:pPr>
              <w:rPr>
                <w:b/>
                <w:sz w:val="16"/>
                <w:szCs w:val="16"/>
              </w:rPr>
            </w:pPr>
          </w:p>
          <w:p w14:paraId="60D9F11B" w14:textId="364B02DF" w:rsidR="008A70DD" w:rsidRPr="003F2C03" w:rsidRDefault="008A70DD" w:rsidP="00F5321D">
            <w:pPr>
              <w:rPr>
                <w:b/>
                <w:sz w:val="16"/>
                <w:szCs w:val="16"/>
              </w:rPr>
            </w:pPr>
            <w:r w:rsidRPr="003F2C03">
              <w:rPr>
                <w:b/>
                <w:sz w:val="16"/>
                <w:szCs w:val="16"/>
              </w:rPr>
              <w:t xml:space="preserve">6. </w:t>
            </w:r>
            <w:r w:rsidR="00063595" w:rsidRPr="003F2C03">
              <w:rPr>
                <w:b/>
                <w:sz w:val="16"/>
                <w:szCs w:val="16"/>
              </w:rPr>
              <w:t xml:space="preserve">Percentage </w:t>
            </w:r>
            <w:r w:rsidRPr="003F2C03">
              <w:rPr>
                <w:b/>
                <w:sz w:val="16"/>
                <w:szCs w:val="16"/>
              </w:rPr>
              <w:t xml:space="preserve">of SDGs nationalized </w:t>
            </w:r>
          </w:p>
          <w:p w14:paraId="24038CCD" w14:textId="77777777" w:rsidR="008A70DD" w:rsidRPr="003F2C03" w:rsidRDefault="008A70DD" w:rsidP="00F5321D">
            <w:pPr>
              <w:rPr>
                <w:sz w:val="16"/>
                <w:szCs w:val="16"/>
              </w:rPr>
            </w:pPr>
          </w:p>
          <w:p w14:paraId="373D4ED8" w14:textId="77777777" w:rsidR="008A70DD" w:rsidRPr="003F2C03" w:rsidRDefault="008A70DD" w:rsidP="00F5321D">
            <w:pPr>
              <w:rPr>
                <w:sz w:val="16"/>
                <w:szCs w:val="16"/>
              </w:rPr>
            </w:pPr>
            <w:r w:rsidRPr="00AA7688">
              <w:rPr>
                <w:b/>
                <w:sz w:val="16"/>
                <w:szCs w:val="16"/>
              </w:rPr>
              <w:t>Baseline (2015):</w:t>
            </w:r>
            <w:r w:rsidRPr="003F2C03">
              <w:rPr>
                <w:sz w:val="16"/>
                <w:szCs w:val="16"/>
              </w:rPr>
              <w:t xml:space="preserve"> 0</w:t>
            </w:r>
          </w:p>
          <w:p w14:paraId="01AB7F9D" w14:textId="0475DCDC" w:rsidR="008A70DD" w:rsidRPr="003F2C03" w:rsidRDefault="008A70DD" w:rsidP="00940942">
            <w:pPr>
              <w:rPr>
                <w:sz w:val="16"/>
                <w:szCs w:val="16"/>
              </w:rPr>
            </w:pPr>
            <w:r w:rsidRPr="00AA7688">
              <w:rPr>
                <w:b/>
                <w:sz w:val="16"/>
                <w:szCs w:val="16"/>
              </w:rPr>
              <w:t>Target (2021):</w:t>
            </w:r>
            <w:r w:rsidRPr="003F2C03">
              <w:rPr>
                <w:sz w:val="16"/>
                <w:szCs w:val="16"/>
              </w:rPr>
              <w:t xml:space="preserve"> 50%; N</w:t>
            </w:r>
            <w:r w:rsidR="004B4840">
              <w:rPr>
                <w:sz w:val="16"/>
                <w:szCs w:val="16"/>
              </w:rPr>
              <w:t xml:space="preserve">ational </w:t>
            </w:r>
            <w:r w:rsidRPr="003F2C03">
              <w:rPr>
                <w:sz w:val="16"/>
                <w:szCs w:val="16"/>
              </w:rPr>
              <w:t>S</w:t>
            </w:r>
            <w:r w:rsidR="004B4840">
              <w:rPr>
                <w:sz w:val="16"/>
                <w:szCs w:val="16"/>
              </w:rPr>
              <w:t xml:space="preserve">trategy for </w:t>
            </w:r>
            <w:r w:rsidRPr="003F2C03">
              <w:rPr>
                <w:sz w:val="16"/>
                <w:szCs w:val="16"/>
              </w:rPr>
              <w:t>S</w:t>
            </w:r>
            <w:r w:rsidR="004B4840">
              <w:rPr>
                <w:sz w:val="16"/>
                <w:szCs w:val="16"/>
              </w:rPr>
              <w:t xml:space="preserve">ustainable </w:t>
            </w:r>
            <w:r w:rsidRPr="003F2C03">
              <w:rPr>
                <w:sz w:val="16"/>
                <w:szCs w:val="16"/>
              </w:rPr>
              <w:t>D</w:t>
            </w:r>
            <w:r w:rsidR="004B4840">
              <w:rPr>
                <w:sz w:val="16"/>
                <w:szCs w:val="16"/>
              </w:rPr>
              <w:t>evelopment</w:t>
            </w:r>
            <w:r w:rsidRPr="003F2C03">
              <w:rPr>
                <w:sz w:val="16"/>
                <w:szCs w:val="16"/>
              </w:rPr>
              <w:t xml:space="preserve"> reporting and monitoring system is functional</w:t>
            </w:r>
            <w:r w:rsidRPr="003F2C03">
              <w:rPr>
                <w:rFonts w:ascii="Arial Narrow" w:hAnsi="Arial Narrow" w:cs="Tahoma"/>
                <w:sz w:val="18"/>
                <w:szCs w:val="18"/>
              </w:rPr>
              <w:t>;</w:t>
            </w:r>
          </w:p>
        </w:tc>
        <w:tc>
          <w:tcPr>
            <w:tcW w:w="705" w:type="pct"/>
            <w:vMerge w:val="restart"/>
          </w:tcPr>
          <w:p w14:paraId="2B4B4E01" w14:textId="77777777" w:rsidR="008A70DD" w:rsidRPr="003F2C03" w:rsidRDefault="008A70DD" w:rsidP="00F5321D">
            <w:pPr>
              <w:rPr>
                <w:i/>
                <w:iCs/>
                <w:sz w:val="16"/>
                <w:szCs w:val="16"/>
                <w:lang w:val="en-GB"/>
              </w:rPr>
            </w:pPr>
          </w:p>
          <w:p w14:paraId="02FC370A" w14:textId="77777777" w:rsidR="008A70DD" w:rsidRPr="003F2C03" w:rsidRDefault="008A70DD" w:rsidP="00F5321D">
            <w:pPr>
              <w:rPr>
                <w:iCs/>
                <w:color w:val="000000"/>
                <w:sz w:val="16"/>
                <w:szCs w:val="16"/>
                <w:lang w:val="en-GB"/>
              </w:rPr>
            </w:pPr>
            <w:r w:rsidRPr="003F2C03">
              <w:rPr>
                <w:iCs/>
                <w:color w:val="000000"/>
                <w:sz w:val="16"/>
                <w:szCs w:val="16"/>
                <w:lang w:val="en-GB"/>
              </w:rPr>
              <w:t xml:space="preserve">European Commission </w:t>
            </w:r>
          </w:p>
          <w:p w14:paraId="20D8275E" w14:textId="25AF6CF9" w:rsidR="008A70DD" w:rsidRPr="003F2C03" w:rsidRDefault="008A70DD" w:rsidP="00F5321D">
            <w:pPr>
              <w:rPr>
                <w:iCs/>
                <w:color w:val="000000"/>
                <w:sz w:val="16"/>
                <w:szCs w:val="16"/>
                <w:lang w:val="en-GB"/>
              </w:rPr>
            </w:pPr>
            <w:r w:rsidRPr="003F2C03">
              <w:rPr>
                <w:iCs/>
                <w:color w:val="000000"/>
                <w:sz w:val="16"/>
                <w:szCs w:val="16"/>
                <w:lang w:val="en-GB"/>
              </w:rPr>
              <w:t xml:space="preserve">UNDP, World Bank, Government of Montenegro </w:t>
            </w:r>
          </w:p>
          <w:p w14:paraId="1F6B057D" w14:textId="77777777" w:rsidR="008A70DD" w:rsidRPr="003F2C03" w:rsidRDefault="008A70DD" w:rsidP="00F5321D">
            <w:pPr>
              <w:rPr>
                <w:b/>
                <w:bCs/>
                <w:i/>
                <w:color w:val="000000"/>
                <w:sz w:val="16"/>
                <w:szCs w:val="16"/>
                <w:lang w:val="en-GB"/>
              </w:rPr>
            </w:pPr>
          </w:p>
        </w:tc>
        <w:tc>
          <w:tcPr>
            <w:tcW w:w="1624" w:type="pct"/>
            <w:vMerge w:val="restart"/>
            <w:tcMar>
              <w:top w:w="72" w:type="dxa"/>
              <w:left w:w="144" w:type="dxa"/>
              <w:bottom w:w="72" w:type="dxa"/>
              <w:right w:w="144" w:type="dxa"/>
            </w:tcMar>
          </w:tcPr>
          <w:p w14:paraId="67BE49B3" w14:textId="55F46565" w:rsidR="008A70DD" w:rsidRPr="003F2C03" w:rsidRDefault="008A70DD" w:rsidP="00F5321D">
            <w:pPr>
              <w:rPr>
                <w:iCs/>
                <w:color w:val="000000"/>
                <w:sz w:val="16"/>
                <w:szCs w:val="16"/>
                <w:lang w:val="en-GB"/>
              </w:rPr>
            </w:pPr>
            <w:r w:rsidRPr="003F2C03">
              <w:rPr>
                <w:b/>
                <w:iCs/>
                <w:color w:val="000000"/>
                <w:sz w:val="16"/>
                <w:szCs w:val="16"/>
                <w:lang w:val="en-GB"/>
              </w:rPr>
              <w:t>Output 1.1</w:t>
            </w:r>
            <w:r w:rsidR="00940942">
              <w:rPr>
                <w:b/>
                <w:iCs/>
                <w:color w:val="000000"/>
                <w:sz w:val="16"/>
                <w:szCs w:val="16"/>
                <w:lang w:val="en-GB"/>
              </w:rPr>
              <w:t>:</w:t>
            </w:r>
            <w:r w:rsidRPr="003F2C03">
              <w:rPr>
                <w:iCs/>
                <w:color w:val="000000"/>
                <w:sz w:val="16"/>
                <w:szCs w:val="16"/>
                <w:lang w:val="en-GB"/>
              </w:rPr>
              <w:t xml:space="preserve"> Efficiency and transparency of judiciary improved through introduction of </w:t>
            </w:r>
            <w:r w:rsidR="00940942">
              <w:rPr>
                <w:iCs/>
                <w:color w:val="000000"/>
                <w:sz w:val="16"/>
                <w:szCs w:val="16"/>
                <w:lang w:val="en-GB"/>
              </w:rPr>
              <w:t>i</w:t>
            </w:r>
            <w:r w:rsidRPr="003F2C03">
              <w:rPr>
                <w:iCs/>
                <w:color w:val="000000"/>
                <w:sz w:val="16"/>
                <w:szCs w:val="16"/>
                <w:lang w:val="en-GB"/>
              </w:rPr>
              <w:t xml:space="preserve">ntegrated judicial IT system </w:t>
            </w:r>
          </w:p>
          <w:p w14:paraId="0A1E4833" w14:textId="61FA4E51" w:rsidR="008A70DD" w:rsidRPr="003F2C03" w:rsidRDefault="008A70DD" w:rsidP="00F5321D">
            <w:pPr>
              <w:rPr>
                <w:iCs/>
                <w:color w:val="000000"/>
                <w:sz w:val="16"/>
                <w:szCs w:val="16"/>
                <w:lang w:val="en-GB"/>
              </w:rPr>
            </w:pPr>
            <w:r w:rsidRPr="003F2C03">
              <w:rPr>
                <w:b/>
                <w:iCs/>
                <w:color w:val="000000"/>
                <w:sz w:val="16"/>
                <w:szCs w:val="16"/>
                <w:lang w:val="en-GB"/>
              </w:rPr>
              <w:t>Indicator 1.1.1</w:t>
            </w:r>
            <w:r w:rsidR="00940942">
              <w:rPr>
                <w:b/>
                <w:iCs/>
                <w:color w:val="000000"/>
                <w:sz w:val="16"/>
                <w:szCs w:val="16"/>
                <w:lang w:val="en-GB"/>
              </w:rPr>
              <w:t>:</w:t>
            </w:r>
            <w:r w:rsidRPr="003F2C03">
              <w:rPr>
                <w:iCs/>
                <w:color w:val="000000"/>
                <w:sz w:val="16"/>
                <w:szCs w:val="16"/>
                <w:lang w:val="en-GB"/>
              </w:rPr>
              <w:t xml:space="preserve"> </w:t>
            </w:r>
            <w:r w:rsidR="00940942">
              <w:rPr>
                <w:iCs/>
                <w:color w:val="000000"/>
                <w:sz w:val="16"/>
                <w:szCs w:val="16"/>
                <w:lang w:val="en-GB"/>
              </w:rPr>
              <w:t>F</w:t>
            </w:r>
            <w:r w:rsidRPr="003F2C03">
              <w:rPr>
                <w:iCs/>
                <w:color w:val="000000"/>
                <w:sz w:val="16"/>
                <w:szCs w:val="16"/>
                <w:lang w:val="en-GB"/>
              </w:rPr>
              <w:t xml:space="preserve">unctional and efficient judicial information system in place </w:t>
            </w:r>
          </w:p>
          <w:p w14:paraId="46C47CC8" w14:textId="77777777" w:rsidR="008A70DD" w:rsidRPr="003F2C03" w:rsidRDefault="008A70DD" w:rsidP="00F5321D">
            <w:pPr>
              <w:rPr>
                <w:iCs/>
                <w:color w:val="000000"/>
                <w:sz w:val="16"/>
                <w:szCs w:val="16"/>
                <w:lang w:val="en-GB"/>
              </w:rPr>
            </w:pPr>
            <w:r w:rsidRPr="003F2C03">
              <w:rPr>
                <w:b/>
                <w:iCs/>
                <w:color w:val="000000"/>
                <w:sz w:val="16"/>
                <w:szCs w:val="16"/>
                <w:lang w:val="en-GB"/>
              </w:rPr>
              <w:t>Baseline 2015</w:t>
            </w:r>
            <w:r w:rsidRPr="003F2C03">
              <w:rPr>
                <w:iCs/>
                <w:color w:val="000000"/>
                <w:sz w:val="16"/>
                <w:szCs w:val="16"/>
                <w:lang w:val="en-GB"/>
              </w:rPr>
              <w:t>: No</w:t>
            </w:r>
          </w:p>
          <w:p w14:paraId="7AF3DD98" w14:textId="5A9B567C" w:rsidR="008A70DD" w:rsidRPr="003F2C03" w:rsidRDefault="008A70DD" w:rsidP="00F5321D">
            <w:pPr>
              <w:rPr>
                <w:iCs/>
                <w:color w:val="000000"/>
                <w:sz w:val="16"/>
                <w:szCs w:val="16"/>
                <w:lang w:val="en-GB"/>
              </w:rPr>
            </w:pPr>
            <w:r w:rsidRPr="003F2C03">
              <w:rPr>
                <w:b/>
                <w:iCs/>
                <w:color w:val="000000"/>
                <w:sz w:val="16"/>
                <w:szCs w:val="16"/>
                <w:lang w:val="en-GB"/>
              </w:rPr>
              <w:t>Target</w:t>
            </w:r>
            <w:r w:rsidR="00880570" w:rsidRPr="003F2C03">
              <w:rPr>
                <w:b/>
                <w:iCs/>
                <w:color w:val="000000"/>
                <w:sz w:val="16"/>
                <w:szCs w:val="16"/>
                <w:lang w:val="en-GB"/>
              </w:rPr>
              <w:t xml:space="preserve"> 2021</w:t>
            </w:r>
            <w:r w:rsidRPr="003F2C03">
              <w:rPr>
                <w:iCs/>
                <w:color w:val="000000"/>
                <w:sz w:val="16"/>
                <w:szCs w:val="16"/>
                <w:lang w:val="en-GB"/>
              </w:rPr>
              <w:t xml:space="preserve">: Yes </w:t>
            </w:r>
          </w:p>
          <w:p w14:paraId="19F353C4" w14:textId="77777777" w:rsidR="00880570" w:rsidRPr="003F2C03" w:rsidRDefault="00880570" w:rsidP="00880570">
            <w:pPr>
              <w:rPr>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Ministry of Justice reports</w:t>
            </w:r>
          </w:p>
          <w:p w14:paraId="6171EC2F" w14:textId="77777777" w:rsidR="008A70DD" w:rsidRPr="003F2C03" w:rsidRDefault="008A70DD" w:rsidP="00F5321D">
            <w:pPr>
              <w:rPr>
                <w:b/>
                <w:iCs/>
                <w:color w:val="000000"/>
                <w:sz w:val="16"/>
                <w:szCs w:val="16"/>
                <w:lang w:val="en-GB"/>
              </w:rPr>
            </w:pPr>
          </w:p>
          <w:p w14:paraId="6A7EA7F4" w14:textId="532074A5" w:rsidR="008A70DD" w:rsidRPr="003F2C03" w:rsidRDefault="008A70DD" w:rsidP="00F5321D">
            <w:pPr>
              <w:rPr>
                <w:iCs/>
                <w:color w:val="000000"/>
                <w:sz w:val="16"/>
                <w:szCs w:val="16"/>
                <w:lang w:val="en-GB"/>
              </w:rPr>
            </w:pPr>
            <w:r w:rsidRPr="003F2C03">
              <w:rPr>
                <w:b/>
                <w:iCs/>
                <w:color w:val="000000"/>
                <w:sz w:val="16"/>
                <w:szCs w:val="16"/>
                <w:lang w:val="en-GB"/>
              </w:rPr>
              <w:t>Output 1.2</w:t>
            </w:r>
            <w:r w:rsidR="00940942">
              <w:rPr>
                <w:iCs/>
                <w:color w:val="000000"/>
                <w:sz w:val="16"/>
                <w:szCs w:val="16"/>
                <w:lang w:val="en-GB"/>
              </w:rPr>
              <w:t xml:space="preserve">: </w:t>
            </w:r>
            <w:r w:rsidRPr="003F2C03">
              <w:rPr>
                <w:iCs/>
                <w:color w:val="000000"/>
                <w:sz w:val="16"/>
                <w:szCs w:val="16"/>
                <w:lang w:val="en-GB"/>
              </w:rPr>
              <w:t>Enhanced citizen participation in creation, monitoring and implementation of policies through innovative models for citizen engagement and open data use</w:t>
            </w:r>
          </w:p>
          <w:p w14:paraId="17FE3687" w14:textId="1F27D215" w:rsidR="008A70DD" w:rsidRPr="003F2C03" w:rsidRDefault="008A70DD" w:rsidP="00F5321D">
            <w:pPr>
              <w:rPr>
                <w:iCs/>
                <w:color w:val="000000"/>
                <w:sz w:val="16"/>
                <w:szCs w:val="16"/>
                <w:lang w:val="en-GB"/>
              </w:rPr>
            </w:pPr>
            <w:r w:rsidRPr="003F2C03">
              <w:rPr>
                <w:b/>
                <w:iCs/>
                <w:color w:val="000000"/>
                <w:sz w:val="16"/>
                <w:szCs w:val="16"/>
                <w:lang w:val="en-GB"/>
              </w:rPr>
              <w:t>Indicator 1.2.1</w:t>
            </w:r>
            <w:r w:rsidR="00940942">
              <w:rPr>
                <w:b/>
                <w:iCs/>
                <w:color w:val="000000"/>
                <w:sz w:val="16"/>
                <w:szCs w:val="16"/>
                <w:lang w:val="en-GB"/>
              </w:rPr>
              <w:t>:</w:t>
            </w:r>
            <w:r w:rsidRPr="003F2C03">
              <w:rPr>
                <w:iCs/>
                <w:color w:val="000000"/>
                <w:sz w:val="16"/>
                <w:szCs w:val="16"/>
                <w:lang w:val="en-GB"/>
              </w:rPr>
              <w:t xml:space="preserve"> </w:t>
            </w:r>
            <w:r w:rsidRPr="003F2C03">
              <w:rPr>
                <w:sz w:val="16"/>
                <w:szCs w:val="16"/>
              </w:rPr>
              <w:t xml:space="preserve">Number of demonstration projects scaled up by national partners </w:t>
            </w:r>
          </w:p>
          <w:p w14:paraId="0E7E8853" w14:textId="5775B087" w:rsidR="008A70DD" w:rsidRPr="003F2C03" w:rsidRDefault="008A70DD" w:rsidP="00F5321D">
            <w:pPr>
              <w:rPr>
                <w:iCs/>
                <w:color w:val="000000"/>
                <w:sz w:val="16"/>
                <w:szCs w:val="16"/>
                <w:lang w:val="en-GB"/>
              </w:rPr>
            </w:pPr>
            <w:r w:rsidRPr="003F2C03">
              <w:rPr>
                <w:b/>
                <w:iCs/>
                <w:color w:val="000000"/>
                <w:sz w:val="16"/>
                <w:szCs w:val="16"/>
                <w:lang w:val="en-GB"/>
              </w:rPr>
              <w:t>Baseline</w:t>
            </w:r>
            <w:r w:rsidRPr="003F2C03">
              <w:rPr>
                <w:iCs/>
                <w:color w:val="000000"/>
                <w:sz w:val="16"/>
                <w:szCs w:val="16"/>
                <w:lang w:val="en-GB"/>
              </w:rPr>
              <w:t xml:space="preserve"> 2015: 2 (</w:t>
            </w:r>
            <w:r w:rsidR="00E60EDA">
              <w:rPr>
                <w:iCs/>
                <w:color w:val="000000"/>
                <w:sz w:val="16"/>
                <w:szCs w:val="16"/>
                <w:lang w:val="en-GB"/>
              </w:rPr>
              <w:t>‘</w:t>
            </w:r>
            <w:r w:rsidRPr="003F2C03">
              <w:rPr>
                <w:iCs/>
                <w:color w:val="000000"/>
                <w:sz w:val="16"/>
                <w:szCs w:val="16"/>
                <w:lang w:val="en-GB"/>
              </w:rPr>
              <w:t xml:space="preserve">Be </w:t>
            </w:r>
            <w:r w:rsidR="00E60EDA">
              <w:rPr>
                <w:iCs/>
                <w:color w:val="000000"/>
                <w:sz w:val="16"/>
                <w:szCs w:val="16"/>
                <w:lang w:val="en-GB"/>
              </w:rPr>
              <w:t>R</w:t>
            </w:r>
            <w:r w:rsidRPr="003F2C03">
              <w:rPr>
                <w:iCs/>
                <w:color w:val="000000"/>
                <w:sz w:val="16"/>
                <w:szCs w:val="16"/>
                <w:lang w:val="en-GB"/>
              </w:rPr>
              <w:t>esponsible</w:t>
            </w:r>
            <w:r w:rsidR="00E60EDA">
              <w:rPr>
                <w:iCs/>
                <w:color w:val="000000"/>
                <w:sz w:val="16"/>
                <w:szCs w:val="16"/>
                <w:lang w:val="en-GB"/>
              </w:rPr>
              <w:t>’</w:t>
            </w:r>
            <w:r w:rsidRPr="003F2C03">
              <w:rPr>
                <w:iCs/>
                <w:color w:val="000000"/>
                <w:sz w:val="16"/>
                <w:szCs w:val="16"/>
                <w:lang w:val="en-GB"/>
              </w:rPr>
              <w:t xml:space="preserve"> and </w:t>
            </w:r>
            <w:r w:rsidR="00E60EDA">
              <w:rPr>
                <w:iCs/>
                <w:color w:val="000000"/>
                <w:sz w:val="16"/>
                <w:szCs w:val="16"/>
                <w:lang w:val="en-GB"/>
              </w:rPr>
              <w:t>‘</w:t>
            </w:r>
            <w:r w:rsidRPr="003F2C03">
              <w:rPr>
                <w:iCs/>
                <w:color w:val="000000"/>
                <w:sz w:val="16"/>
                <w:szCs w:val="16"/>
                <w:lang w:val="en-GB"/>
              </w:rPr>
              <w:t xml:space="preserve">Open </w:t>
            </w:r>
            <w:r w:rsidR="00E60EDA">
              <w:rPr>
                <w:iCs/>
                <w:color w:val="000000"/>
                <w:sz w:val="16"/>
                <w:szCs w:val="16"/>
                <w:lang w:val="en-GB"/>
              </w:rPr>
              <w:t>I</w:t>
            </w:r>
            <w:r w:rsidRPr="003F2C03">
              <w:rPr>
                <w:iCs/>
                <w:color w:val="000000"/>
                <w:sz w:val="16"/>
                <w:szCs w:val="16"/>
                <w:lang w:val="en-GB"/>
              </w:rPr>
              <w:t>deas for Montenegro</w:t>
            </w:r>
            <w:r w:rsidR="00E60EDA">
              <w:rPr>
                <w:iCs/>
                <w:color w:val="000000"/>
                <w:sz w:val="16"/>
                <w:szCs w:val="16"/>
                <w:lang w:val="en-GB"/>
              </w:rPr>
              <w:t>’</w:t>
            </w:r>
            <w:r w:rsidRPr="003F2C03">
              <w:rPr>
                <w:iCs/>
                <w:color w:val="000000"/>
                <w:sz w:val="16"/>
                <w:szCs w:val="16"/>
                <w:lang w:val="en-GB"/>
              </w:rPr>
              <w:t xml:space="preserve">) </w:t>
            </w:r>
          </w:p>
          <w:p w14:paraId="2740A33B" w14:textId="590209AD" w:rsidR="008A70DD" w:rsidRPr="003F2C03" w:rsidRDefault="008A70DD" w:rsidP="00F5321D">
            <w:pPr>
              <w:rPr>
                <w:iCs/>
                <w:color w:val="000000"/>
                <w:sz w:val="16"/>
                <w:szCs w:val="16"/>
                <w:lang w:val="en-GB"/>
              </w:rPr>
            </w:pPr>
            <w:r w:rsidRPr="003F2C03">
              <w:rPr>
                <w:b/>
                <w:iCs/>
                <w:color w:val="000000"/>
                <w:sz w:val="16"/>
                <w:szCs w:val="16"/>
                <w:lang w:val="en-GB"/>
              </w:rPr>
              <w:t>Target</w:t>
            </w:r>
            <w:r w:rsidR="00880570" w:rsidRPr="003F2C03">
              <w:rPr>
                <w:b/>
                <w:iCs/>
                <w:color w:val="000000"/>
                <w:sz w:val="16"/>
                <w:szCs w:val="16"/>
                <w:lang w:val="en-GB"/>
              </w:rPr>
              <w:t xml:space="preserve"> 2021</w:t>
            </w:r>
            <w:r w:rsidRPr="003F2C03">
              <w:rPr>
                <w:b/>
                <w:iCs/>
                <w:color w:val="000000"/>
                <w:sz w:val="16"/>
                <w:szCs w:val="16"/>
                <w:lang w:val="en-GB"/>
              </w:rPr>
              <w:t>:</w:t>
            </w:r>
            <w:r w:rsidRPr="003F2C03">
              <w:rPr>
                <w:iCs/>
                <w:color w:val="000000"/>
                <w:sz w:val="16"/>
                <w:szCs w:val="16"/>
                <w:lang w:val="en-GB"/>
              </w:rPr>
              <w:t xml:space="preserve"> 2 additional innovative projects </w:t>
            </w:r>
          </w:p>
          <w:p w14:paraId="291B3DA3" w14:textId="77AA12BF" w:rsidR="00880570" w:rsidRPr="003F2C03" w:rsidRDefault="00880570" w:rsidP="00880570">
            <w:pPr>
              <w:rPr>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Open Government </w:t>
            </w:r>
            <w:r w:rsidR="00747427" w:rsidRPr="003F2C03">
              <w:rPr>
                <w:iCs/>
                <w:color w:val="000000"/>
                <w:sz w:val="16"/>
                <w:szCs w:val="16"/>
                <w:lang w:val="en-GB"/>
              </w:rPr>
              <w:t>P</w:t>
            </w:r>
            <w:r w:rsidRPr="003F2C03">
              <w:rPr>
                <w:iCs/>
                <w:color w:val="000000"/>
                <w:sz w:val="16"/>
                <w:szCs w:val="16"/>
                <w:lang w:val="en-GB"/>
              </w:rPr>
              <w:t xml:space="preserve">artnership report </w:t>
            </w:r>
          </w:p>
          <w:p w14:paraId="75C2E86B" w14:textId="77777777" w:rsidR="008A70DD" w:rsidRPr="003F2C03" w:rsidRDefault="008A70DD" w:rsidP="00894167">
            <w:pPr>
              <w:rPr>
                <w:iCs/>
                <w:color w:val="000000"/>
                <w:sz w:val="16"/>
                <w:szCs w:val="16"/>
                <w:lang w:val="en-GB"/>
              </w:rPr>
            </w:pPr>
          </w:p>
          <w:p w14:paraId="515B56D8" w14:textId="563DB552" w:rsidR="008A70DD" w:rsidRPr="003F2C03" w:rsidRDefault="008A70DD" w:rsidP="00F5321D">
            <w:pPr>
              <w:rPr>
                <w:iCs/>
                <w:color w:val="000000"/>
                <w:sz w:val="16"/>
                <w:szCs w:val="16"/>
                <w:lang w:val="en-GB"/>
              </w:rPr>
            </w:pPr>
            <w:r w:rsidRPr="003F2C03">
              <w:rPr>
                <w:b/>
                <w:iCs/>
                <w:color w:val="000000"/>
                <w:sz w:val="16"/>
                <w:szCs w:val="16"/>
                <w:lang w:val="en-GB"/>
              </w:rPr>
              <w:t>Output 1.3</w:t>
            </w:r>
            <w:r w:rsidR="00940942">
              <w:rPr>
                <w:b/>
                <w:iCs/>
                <w:color w:val="000000"/>
                <w:sz w:val="16"/>
                <w:szCs w:val="16"/>
                <w:lang w:val="en-GB"/>
              </w:rPr>
              <w:t>:</w:t>
            </w:r>
            <w:r w:rsidRPr="003F2C03">
              <w:rPr>
                <w:iCs/>
                <w:color w:val="000000"/>
                <w:sz w:val="16"/>
                <w:szCs w:val="16"/>
                <w:lang w:val="en-GB"/>
              </w:rPr>
              <w:t xml:space="preserve"> Access to</w:t>
            </w:r>
            <w:r w:rsidR="00940942">
              <w:rPr>
                <w:iCs/>
                <w:color w:val="000000"/>
                <w:sz w:val="16"/>
                <w:szCs w:val="16"/>
                <w:lang w:val="en-GB"/>
              </w:rPr>
              <w:t xml:space="preserve"> and</w:t>
            </w:r>
            <w:r w:rsidRPr="003F2C03">
              <w:rPr>
                <w:iCs/>
                <w:color w:val="000000"/>
                <w:sz w:val="16"/>
                <w:szCs w:val="16"/>
                <w:lang w:val="en-GB"/>
              </w:rPr>
              <w:t xml:space="preserve"> availability and delivery of state services enhanced through the use of ICT</w:t>
            </w:r>
          </w:p>
          <w:p w14:paraId="381F6D9E" w14:textId="77777777" w:rsidR="008A70DD" w:rsidRPr="003F2C03" w:rsidRDefault="008A70DD" w:rsidP="00F5321D">
            <w:pPr>
              <w:rPr>
                <w:iCs/>
                <w:color w:val="000000"/>
                <w:sz w:val="16"/>
                <w:szCs w:val="16"/>
                <w:lang w:val="en-GB"/>
              </w:rPr>
            </w:pPr>
            <w:r w:rsidRPr="003F2C03">
              <w:rPr>
                <w:b/>
                <w:iCs/>
                <w:color w:val="000000"/>
                <w:sz w:val="16"/>
                <w:szCs w:val="16"/>
                <w:lang w:val="en-GB"/>
              </w:rPr>
              <w:t>Indicator 1.3.1</w:t>
            </w:r>
            <w:r w:rsidRPr="003F2C03">
              <w:rPr>
                <w:iCs/>
                <w:color w:val="000000"/>
                <w:sz w:val="16"/>
                <w:szCs w:val="16"/>
                <w:lang w:val="en-GB"/>
              </w:rPr>
              <w:t xml:space="preserve">: Number of e-services  </w:t>
            </w:r>
          </w:p>
          <w:p w14:paraId="28BD1560" w14:textId="02515821" w:rsidR="008A70DD" w:rsidRPr="003F2C03" w:rsidRDefault="008A70DD" w:rsidP="00F5321D">
            <w:pPr>
              <w:rPr>
                <w:iCs/>
                <w:color w:val="000000"/>
                <w:sz w:val="16"/>
                <w:szCs w:val="16"/>
                <w:lang w:val="en-GB"/>
              </w:rPr>
            </w:pPr>
            <w:r w:rsidRPr="003F2C03">
              <w:rPr>
                <w:b/>
                <w:iCs/>
                <w:color w:val="000000"/>
                <w:sz w:val="16"/>
                <w:szCs w:val="16"/>
                <w:lang w:val="en-GB"/>
              </w:rPr>
              <w:t>Baseline</w:t>
            </w:r>
            <w:r w:rsidRPr="003F2C03">
              <w:rPr>
                <w:iCs/>
                <w:color w:val="000000"/>
                <w:sz w:val="16"/>
                <w:szCs w:val="16"/>
                <w:lang w:val="en-GB"/>
              </w:rPr>
              <w:t xml:space="preserve"> 2015: </w:t>
            </w:r>
            <w:r w:rsidR="008975F3" w:rsidRPr="003F2C03">
              <w:rPr>
                <w:iCs/>
                <w:color w:val="000000"/>
                <w:sz w:val="16"/>
                <w:szCs w:val="16"/>
                <w:lang w:val="en-GB"/>
              </w:rPr>
              <w:t xml:space="preserve">129 </w:t>
            </w:r>
          </w:p>
          <w:p w14:paraId="78E9C895" w14:textId="49430806" w:rsidR="008A70DD" w:rsidRPr="003F2C03" w:rsidRDefault="008A70DD" w:rsidP="00F5321D">
            <w:pPr>
              <w:rPr>
                <w:iCs/>
                <w:color w:val="000000"/>
                <w:sz w:val="16"/>
                <w:szCs w:val="16"/>
                <w:lang w:val="en-GB"/>
              </w:rPr>
            </w:pPr>
            <w:r w:rsidRPr="003F2C03">
              <w:rPr>
                <w:b/>
                <w:iCs/>
                <w:color w:val="000000"/>
                <w:sz w:val="16"/>
                <w:szCs w:val="16"/>
                <w:lang w:val="en-GB"/>
              </w:rPr>
              <w:t>Target</w:t>
            </w:r>
            <w:r w:rsidR="00880570" w:rsidRPr="003F2C03">
              <w:rPr>
                <w:b/>
                <w:iCs/>
                <w:color w:val="000000"/>
                <w:sz w:val="16"/>
                <w:szCs w:val="16"/>
                <w:lang w:val="en-GB"/>
              </w:rPr>
              <w:t xml:space="preserve"> </w:t>
            </w:r>
            <w:r w:rsidR="00880570" w:rsidRPr="00AA7688">
              <w:rPr>
                <w:iCs/>
                <w:color w:val="000000"/>
                <w:sz w:val="16"/>
                <w:szCs w:val="16"/>
                <w:lang w:val="en-GB"/>
              </w:rPr>
              <w:t>2021</w:t>
            </w:r>
            <w:r w:rsidRPr="00AA7688">
              <w:rPr>
                <w:iCs/>
                <w:color w:val="000000"/>
                <w:sz w:val="16"/>
                <w:szCs w:val="16"/>
                <w:lang w:val="en-GB"/>
              </w:rPr>
              <w:t>:</w:t>
            </w:r>
            <w:r w:rsidRPr="003F2C03">
              <w:rPr>
                <w:iCs/>
                <w:color w:val="000000"/>
                <w:sz w:val="16"/>
                <w:szCs w:val="16"/>
                <w:lang w:val="en-GB"/>
              </w:rPr>
              <w:t xml:space="preserve"> 15 additional  </w:t>
            </w:r>
          </w:p>
          <w:p w14:paraId="3BC0EB9F" w14:textId="006710D3" w:rsidR="008A70DD" w:rsidRPr="003F2C03" w:rsidRDefault="008A70DD" w:rsidP="00F5321D">
            <w:pPr>
              <w:rPr>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Ministry of </w:t>
            </w:r>
            <w:r w:rsidR="00DB1024">
              <w:rPr>
                <w:iCs/>
                <w:color w:val="000000"/>
                <w:sz w:val="16"/>
                <w:szCs w:val="16"/>
                <w:lang w:val="en-GB"/>
              </w:rPr>
              <w:t>I</w:t>
            </w:r>
            <w:r w:rsidRPr="003F2C03">
              <w:rPr>
                <w:iCs/>
                <w:color w:val="000000"/>
                <w:sz w:val="16"/>
                <w:szCs w:val="16"/>
                <w:lang w:val="en-GB"/>
              </w:rPr>
              <w:t xml:space="preserve">nformation </w:t>
            </w:r>
            <w:r w:rsidR="00DB1024">
              <w:rPr>
                <w:iCs/>
                <w:color w:val="000000"/>
                <w:sz w:val="16"/>
                <w:szCs w:val="16"/>
                <w:lang w:val="en-GB"/>
              </w:rPr>
              <w:t>S</w:t>
            </w:r>
            <w:r w:rsidRPr="003F2C03">
              <w:rPr>
                <w:iCs/>
                <w:color w:val="000000"/>
                <w:sz w:val="16"/>
                <w:szCs w:val="16"/>
                <w:lang w:val="en-GB"/>
              </w:rPr>
              <w:t>ociety reports</w:t>
            </w:r>
          </w:p>
          <w:p w14:paraId="17BA2EFF" w14:textId="0CFD2C3F" w:rsidR="008A70DD" w:rsidRPr="003F2C03" w:rsidRDefault="008A70DD" w:rsidP="00F5321D">
            <w:pPr>
              <w:rPr>
                <w:iCs/>
                <w:color w:val="000000"/>
                <w:sz w:val="16"/>
                <w:szCs w:val="16"/>
                <w:lang w:val="en-GB"/>
              </w:rPr>
            </w:pPr>
            <w:r w:rsidRPr="003F2C03">
              <w:rPr>
                <w:b/>
                <w:iCs/>
                <w:color w:val="000000"/>
                <w:sz w:val="16"/>
                <w:szCs w:val="16"/>
                <w:lang w:val="en-GB"/>
              </w:rPr>
              <w:t>Indicator 1.3.2</w:t>
            </w:r>
            <w:r w:rsidRPr="003F2C03">
              <w:rPr>
                <w:iCs/>
                <w:color w:val="000000"/>
                <w:sz w:val="16"/>
                <w:szCs w:val="16"/>
                <w:lang w:val="en-GB"/>
              </w:rPr>
              <w:t xml:space="preserve">: Improving </w:t>
            </w:r>
            <w:r w:rsidR="00940942">
              <w:rPr>
                <w:iCs/>
                <w:color w:val="000000"/>
                <w:sz w:val="16"/>
                <w:szCs w:val="16"/>
                <w:lang w:val="en-GB"/>
              </w:rPr>
              <w:t>g</w:t>
            </w:r>
            <w:r w:rsidRPr="003F2C03">
              <w:rPr>
                <w:iCs/>
                <w:color w:val="000000"/>
                <w:sz w:val="16"/>
                <w:szCs w:val="16"/>
                <w:lang w:val="en-GB"/>
              </w:rPr>
              <w:t xml:space="preserve">overnment effectiveness in public service delivery </w:t>
            </w:r>
          </w:p>
          <w:p w14:paraId="5CA9B431" w14:textId="0F6CCB20" w:rsidR="008A70DD" w:rsidRPr="003F2C03" w:rsidRDefault="008A70DD" w:rsidP="00F5321D">
            <w:pPr>
              <w:rPr>
                <w:iCs/>
                <w:color w:val="000000"/>
                <w:sz w:val="16"/>
                <w:szCs w:val="16"/>
                <w:lang w:val="en-GB"/>
              </w:rPr>
            </w:pPr>
            <w:r w:rsidRPr="003F2C03">
              <w:rPr>
                <w:b/>
                <w:iCs/>
                <w:color w:val="000000"/>
                <w:sz w:val="16"/>
                <w:szCs w:val="16"/>
                <w:lang w:val="en-GB"/>
              </w:rPr>
              <w:t>Baseline</w:t>
            </w:r>
            <w:r w:rsidRPr="003F2C03">
              <w:rPr>
                <w:iCs/>
                <w:color w:val="000000"/>
                <w:sz w:val="16"/>
                <w:szCs w:val="16"/>
                <w:lang w:val="en-GB"/>
              </w:rPr>
              <w:t xml:space="preserve"> 2015: 0.28 </w:t>
            </w:r>
          </w:p>
          <w:p w14:paraId="7572A78B" w14:textId="2B97BD4D" w:rsidR="008A70DD" w:rsidRPr="003F2C03" w:rsidRDefault="008A70DD" w:rsidP="00F5321D">
            <w:pPr>
              <w:rPr>
                <w:iCs/>
                <w:color w:val="000000"/>
                <w:sz w:val="16"/>
                <w:szCs w:val="16"/>
                <w:lang w:val="en-GB"/>
              </w:rPr>
            </w:pPr>
            <w:r w:rsidRPr="003F2C03">
              <w:rPr>
                <w:b/>
                <w:iCs/>
                <w:color w:val="000000"/>
                <w:sz w:val="16"/>
                <w:szCs w:val="16"/>
                <w:lang w:val="en-GB"/>
              </w:rPr>
              <w:t>Target</w:t>
            </w:r>
            <w:r w:rsidR="00880570" w:rsidRPr="003F2C03">
              <w:rPr>
                <w:b/>
                <w:iCs/>
                <w:color w:val="000000"/>
                <w:sz w:val="16"/>
                <w:szCs w:val="16"/>
                <w:lang w:val="en-GB"/>
              </w:rPr>
              <w:t xml:space="preserve"> </w:t>
            </w:r>
            <w:r w:rsidR="00880570" w:rsidRPr="00AA7688">
              <w:rPr>
                <w:iCs/>
                <w:color w:val="000000"/>
                <w:sz w:val="16"/>
                <w:szCs w:val="16"/>
                <w:lang w:val="en-GB"/>
              </w:rPr>
              <w:t>2021</w:t>
            </w:r>
            <w:r w:rsidRPr="00AA7688">
              <w:rPr>
                <w:iCs/>
                <w:color w:val="000000"/>
                <w:sz w:val="16"/>
                <w:szCs w:val="16"/>
                <w:lang w:val="en-GB"/>
              </w:rPr>
              <w:t>:</w:t>
            </w:r>
            <w:r w:rsidRPr="003F2C03">
              <w:rPr>
                <w:iCs/>
                <w:color w:val="000000"/>
                <w:sz w:val="16"/>
                <w:szCs w:val="16"/>
                <w:lang w:val="en-GB"/>
              </w:rPr>
              <w:t xml:space="preserve"> 0.4 </w:t>
            </w:r>
          </w:p>
          <w:p w14:paraId="4A928757" w14:textId="67972C33" w:rsidR="008A70DD" w:rsidRPr="003F2C03" w:rsidRDefault="008A70DD" w:rsidP="00F5321D">
            <w:pPr>
              <w:rPr>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World Bank </w:t>
            </w:r>
            <w:r w:rsidR="00940942">
              <w:rPr>
                <w:iCs/>
                <w:color w:val="000000"/>
                <w:sz w:val="16"/>
                <w:szCs w:val="16"/>
                <w:lang w:val="en-GB"/>
              </w:rPr>
              <w:t>g</w:t>
            </w:r>
            <w:r w:rsidRPr="003F2C03">
              <w:rPr>
                <w:iCs/>
                <w:color w:val="000000"/>
                <w:sz w:val="16"/>
                <w:szCs w:val="16"/>
                <w:lang w:val="en-GB"/>
              </w:rPr>
              <w:t xml:space="preserve">overnance indicators </w:t>
            </w:r>
          </w:p>
          <w:p w14:paraId="725EFA95" w14:textId="77777777" w:rsidR="008A70DD" w:rsidRPr="003F2C03" w:rsidRDefault="008A70DD" w:rsidP="00F5321D">
            <w:pPr>
              <w:rPr>
                <w:bCs/>
                <w:color w:val="000000"/>
                <w:sz w:val="16"/>
                <w:szCs w:val="16"/>
                <w:lang w:val="en-GB"/>
              </w:rPr>
            </w:pPr>
          </w:p>
          <w:p w14:paraId="40C00823" w14:textId="2D879B67" w:rsidR="008A70DD" w:rsidRPr="003F2C03" w:rsidRDefault="008A70DD" w:rsidP="00F5321D">
            <w:pPr>
              <w:rPr>
                <w:sz w:val="16"/>
                <w:szCs w:val="16"/>
              </w:rPr>
            </w:pPr>
            <w:r w:rsidRPr="003F2C03">
              <w:rPr>
                <w:b/>
                <w:bCs/>
                <w:color w:val="000000"/>
                <w:sz w:val="16"/>
                <w:szCs w:val="16"/>
                <w:lang w:val="en-GB"/>
              </w:rPr>
              <w:t>Output 1.4</w:t>
            </w:r>
            <w:r w:rsidR="00940942">
              <w:rPr>
                <w:b/>
                <w:bCs/>
                <w:color w:val="000000"/>
                <w:sz w:val="16"/>
                <w:szCs w:val="16"/>
                <w:lang w:val="en-GB"/>
              </w:rPr>
              <w:t>:</w:t>
            </w:r>
            <w:r w:rsidRPr="003F2C03">
              <w:rPr>
                <w:bCs/>
                <w:color w:val="000000"/>
                <w:sz w:val="16"/>
                <w:szCs w:val="16"/>
                <w:lang w:val="en-GB"/>
              </w:rPr>
              <w:t xml:space="preserve">  </w:t>
            </w:r>
            <w:r w:rsidRPr="003F2C03">
              <w:rPr>
                <w:sz w:val="16"/>
                <w:szCs w:val="16"/>
              </w:rPr>
              <w:t xml:space="preserve">Enhanced national capacities in managing destruction and storage </w:t>
            </w:r>
            <w:r w:rsidR="00940942">
              <w:rPr>
                <w:sz w:val="16"/>
                <w:szCs w:val="16"/>
              </w:rPr>
              <w:t xml:space="preserve">of </w:t>
            </w:r>
            <w:r w:rsidR="00940942" w:rsidRPr="003F2C03">
              <w:rPr>
                <w:sz w:val="16"/>
                <w:szCs w:val="16"/>
              </w:rPr>
              <w:t>weapons and ammunition</w:t>
            </w:r>
          </w:p>
          <w:p w14:paraId="3291B4AD" w14:textId="466184C7" w:rsidR="008A70DD" w:rsidRPr="003F2C03" w:rsidRDefault="008A70DD" w:rsidP="00F5321D">
            <w:pPr>
              <w:autoSpaceDE w:val="0"/>
              <w:autoSpaceDN w:val="0"/>
              <w:adjustRightInd w:val="0"/>
              <w:rPr>
                <w:rFonts w:eastAsiaTheme="minorEastAsia"/>
                <w:color w:val="000000"/>
                <w:sz w:val="16"/>
                <w:szCs w:val="16"/>
              </w:rPr>
            </w:pPr>
            <w:r w:rsidRPr="003F2C03">
              <w:rPr>
                <w:rFonts w:eastAsiaTheme="minorEastAsia"/>
                <w:b/>
                <w:bCs/>
                <w:color w:val="000000"/>
                <w:sz w:val="16"/>
                <w:szCs w:val="16"/>
              </w:rPr>
              <w:t>Indicator 1.4.1</w:t>
            </w:r>
            <w:r w:rsidR="00940942">
              <w:rPr>
                <w:rFonts w:eastAsiaTheme="minorEastAsia"/>
                <w:b/>
                <w:bCs/>
                <w:color w:val="000000"/>
                <w:sz w:val="16"/>
                <w:szCs w:val="16"/>
              </w:rPr>
              <w:t>:</w:t>
            </w:r>
            <w:r w:rsidRPr="003F2C03">
              <w:rPr>
                <w:rFonts w:eastAsiaTheme="minorEastAsia"/>
                <w:b/>
                <w:bCs/>
                <w:color w:val="000000"/>
                <w:sz w:val="16"/>
                <w:szCs w:val="16"/>
              </w:rPr>
              <w:t xml:space="preserve"> </w:t>
            </w:r>
            <w:r w:rsidRPr="00AA7688">
              <w:rPr>
                <w:rFonts w:eastAsiaTheme="minorEastAsia"/>
                <w:bCs/>
                <w:color w:val="000000"/>
                <w:sz w:val="16"/>
                <w:szCs w:val="16"/>
              </w:rPr>
              <w:t>O</w:t>
            </w:r>
            <w:r w:rsidRPr="003F2C03">
              <w:rPr>
                <w:rFonts w:eastAsiaTheme="minorEastAsia"/>
                <w:color w:val="000000"/>
                <w:sz w:val="16"/>
                <w:szCs w:val="16"/>
              </w:rPr>
              <w:t xml:space="preserve">bsolete ammunition is destroyed </w:t>
            </w:r>
          </w:p>
          <w:p w14:paraId="1ACD218C" w14:textId="773A6FC9" w:rsidR="008A70DD" w:rsidRPr="003F2C03" w:rsidRDefault="008A70DD" w:rsidP="00F5321D">
            <w:pPr>
              <w:rPr>
                <w:sz w:val="16"/>
                <w:szCs w:val="16"/>
              </w:rPr>
            </w:pPr>
            <w:r w:rsidRPr="003F2C03">
              <w:rPr>
                <w:b/>
                <w:bCs/>
                <w:sz w:val="16"/>
                <w:szCs w:val="16"/>
              </w:rPr>
              <w:t>Baseline</w:t>
            </w:r>
            <w:r w:rsidRPr="003F2C03">
              <w:rPr>
                <w:sz w:val="16"/>
                <w:szCs w:val="16"/>
              </w:rPr>
              <w:t>: 1600 ton</w:t>
            </w:r>
            <w:r w:rsidR="00E60EDA">
              <w:rPr>
                <w:sz w:val="16"/>
                <w:szCs w:val="16"/>
              </w:rPr>
              <w:t>n</w:t>
            </w:r>
            <w:r w:rsidRPr="003F2C03">
              <w:rPr>
                <w:sz w:val="16"/>
                <w:szCs w:val="16"/>
              </w:rPr>
              <w:t>es destroyed (2015)</w:t>
            </w:r>
          </w:p>
          <w:p w14:paraId="15308A67" w14:textId="262F8F46" w:rsidR="008A70DD" w:rsidRPr="003F2C03" w:rsidRDefault="008A70DD" w:rsidP="00F5321D">
            <w:pPr>
              <w:rPr>
                <w:bCs/>
                <w:sz w:val="16"/>
                <w:szCs w:val="16"/>
              </w:rPr>
            </w:pPr>
            <w:r w:rsidRPr="003F2C03">
              <w:rPr>
                <w:b/>
                <w:bCs/>
                <w:sz w:val="16"/>
                <w:szCs w:val="16"/>
              </w:rPr>
              <w:t>Target</w:t>
            </w:r>
            <w:r w:rsidRPr="003F2C03">
              <w:rPr>
                <w:bCs/>
                <w:sz w:val="16"/>
                <w:szCs w:val="16"/>
              </w:rPr>
              <w:t xml:space="preserve">: </w:t>
            </w:r>
            <w:r w:rsidR="00940942">
              <w:rPr>
                <w:bCs/>
                <w:sz w:val="16"/>
                <w:szCs w:val="16"/>
              </w:rPr>
              <w:t>A</w:t>
            </w:r>
            <w:r w:rsidRPr="003F2C03">
              <w:rPr>
                <w:bCs/>
                <w:sz w:val="16"/>
                <w:szCs w:val="16"/>
              </w:rPr>
              <w:t>dditional 300 to</w:t>
            </w:r>
            <w:r w:rsidR="00E60EDA">
              <w:rPr>
                <w:bCs/>
                <w:sz w:val="16"/>
                <w:szCs w:val="16"/>
              </w:rPr>
              <w:t>n</w:t>
            </w:r>
            <w:r w:rsidRPr="003F2C03">
              <w:rPr>
                <w:bCs/>
                <w:sz w:val="16"/>
                <w:szCs w:val="16"/>
              </w:rPr>
              <w:t>n</w:t>
            </w:r>
            <w:r w:rsidR="00E60EDA">
              <w:rPr>
                <w:bCs/>
                <w:sz w:val="16"/>
                <w:szCs w:val="16"/>
              </w:rPr>
              <w:t>e</w:t>
            </w:r>
            <w:r w:rsidRPr="003F2C03">
              <w:rPr>
                <w:bCs/>
                <w:sz w:val="16"/>
                <w:szCs w:val="16"/>
              </w:rPr>
              <w:t>s destroyed by 2021</w:t>
            </w:r>
          </w:p>
          <w:p w14:paraId="0D1D428D" w14:textId="09984720" w:rsidR="008A70DD" w:rsidRPr="003F2C03" w:rsidRDefault="008A70DD" w:rsidP="00F5321D">
            <w:pPr>
              <w:rPr>
                <w:bCs/>
                <w:sz w:val="16"/>
                <w:szCs w:val="16"/>
              </w:rPr>
            </w:pPr>
            <w:r w:rsidRPr="003F2C03">
              <w:rPr>
                <w:b/>
                <w:iCs/>
                <w:color w:val="000000"/>
                <w:sz w:val="16"/>
                <w:szCs w:val="16"/>
                <w:lang w:val="en-GB"/>
              </w:rPr>
              <w:t>Means of verification:</w:t>
            </w:r>
            <w:r w:rsidRPr="003F2C03">
              <w:rPr>
                <w:iCs/>
                <w:color w:val="000000"/>
                <w:sz w:val="16"/>
                <w:szCs w:val="16"/>
                <w:lang w:val="en-GB"/>
              </w:rPr>
              <w:t xml:space="preserve"> </w:t>
            </w:r>
            <w:r w:rsidRPr="003F2C03">
              <w:rPr>
                <w:bCs/>
                <w:sz w:val="16"/>
                <w:szCs w:val="16"/>
              </w:rPr>
              <w:t>Ministry of Defen</w:t>
            </w:r>
            <w:r w:rsidR="00940942">
              <w:rPr>
                <w:bCs/>
                <w:sz w:val="16"/>
                <w:szCs w:val="16"/>
              </w:rPr>
              <w:t>c</w:t>
            </w:r>
            <w:r w:rsidRPr="003F2C03">
              <w:rPr>
                <w:bCs/>
                <w:sz w:val="16"/>
                <w:szCs w:val="16"/>
              </w:rPr>
              <w:t xml:space="preserve">e reports </w:t>
            </w:r>
          </w:p>
          <w:p w14:paraId="023A584E" w14:textId="28D16FB0" w:rsidR="00CF3CB4" w:rsidRPr="003F2C03" w:rsidRDefault="00CF3CB4" w:rsidP="00F5321D">
            <w:pPr>
              <w:rPr>
                <w:bCs/>
                <w:color w:val="000000"/>
                <w:sz w:val="16"/>
                <w:szCs w:val="16"/>
                <w:lang w:val="en-GB"/>
              </w:rPr>
            </w:pPr>
          </w:p>
        </w:tc>
        <w:tc>
          <w:tcPr>
            <w:tcW w:w="713" w:type="pct"/>
            <w:gridSpan w:val="3"/>
            <w:vMerge w:val="restart"/>
          </w:tcPr>
          <w:p w14:paraId="135A555F" w14:textId="29C06030" w:rsidR="008A70DD" w:rsidRPr="00A71FFA" w:rsidRDefault="008A70DD" w:rsidP="00893942">
            <w:pPr>
              <w:rPr>
                <w:iCs/>
                <w:color w:val="000000"/>
                <w:sz w:val="16"/>
                <w:szCs w:val="16"/>
                <w:lang w:val="en-GB"/>
              </w:rPr>
            </w:pPr>
            <w:r w:rsidRPr="00A71FFA">
              <w:rPr>
                <w:iCs/>
                <w:color w:val="000000"/>
                <w:sz w:val="16"/>
                <w:szCs w:val="16"/>
                <w:lang w:val="en-GB"/>
              </w:rPr>
              <w:lastRenderedPageBreak/>
              <w:t>Prime Minister</w:t>
            </w:r>
            <w:r w:rsidR="00E60EDA">
              <w:rPr>
                <w:iCs/>
                <w:color w:val="000000"/>
                <w:sz w:val="16"/>
                <w:szCs w:val="16"/>
                <w:lang w:val="en-GB"/>
              </w:rPr>
              <w:t>’s</w:t>
            </w:r>
            <w:r w:rsidRPr="00A71FFA">
              <w:rPr>
                <w:iCs/>
                <w:color w:val="000000"/>
                <w:sz w:val="16"/>
                <w:szCs w:val="16"/>
                <w:lang w:val="en-GB"/>
              </w:rPr>
              <w:t xml:space="preserve"> Cabinet</w:t>
            </w:r>
            <w:r w:rsidR="00893942">
              <w:rPr>
                <w:iCs/>
                <w:color w:val="000000"/>
                <w:sz w:val="16"/>
                <w:szCs w:val="16"/>
                <w:lang w:val="en-GB"/>
              </w:rPr>
              <w:t>;</w:t>
            </w:r>
            <w:r w:rsidRPr="00A71FFA">
              <w:rPr>
                <w:iCs/>
                <w:color w:val="000000"/>
                <w:sz w:val="16"/>
                <w:szCs w:val="16"/>
                <w:lang w:val="en-GB"/>
              </w:rPr>
              <w:t xml:space="preserve"> Ministr</w:t>
            </w:r>
            <w:r w:rsidR="00940942">
              <w:rPr>
                <w:iCs/>
                <w:color w:val="000000"/>
                <w:sz w:val="16"/>
                <w:szCs w:val="16"/>
                <w:lang w:val="en-GB"/>
              </w:rPr>
              <w:t xml:space="preserve">ies </w:t>
            </w:r>
            <w:r w:rsidRPr="00A71FFA">
              <w:rPr>
                <w:iCs/>
                <w:color w:val="000000"/>
                <w:sz w:val="16"/>
                <w:szCs w:val="16"/>
                <w:lang w:val="en-GB"/>
              </w:rPr>
              <w:t>of Defence, Justice, Interior, Human Rights and Minorities, Sustainable Development and Tourism, Finance, Foreign Affairs and European Integration, Information Society and Telecommunications</w:t>
            </w:r>
            <w:r w:rsidR="00893942">
              <w:rPr>
                <w:iCs/>
                <w:color w:val="000000"/>
                <w:sz w:val="16"/>
                <w:szCs w:val="16"/>
                <w:lang w:val="en-GB"/>
              </w:rPr>
              <w:t>,</w:t>
            </w:r>
            <w:r w:rsidRPr="00A71FFA">
              <w:rPr>
                <w:iCs/>
                <w:color w:val="000000"/>
                <w:sz w:val="16"/>
                <w:szCs w:val="16"/>
                <w:lang w:val="en-GB"/>
              </w:rPr>
              <w:t xml:space="preserve"> and Economy. Also, local authorities</w:t>
            </w:r>
            <w:r w:rsidR="00940942">
              <w:rPr>
                <w:iCs/>
                <w:color w:val="000000"/>
                <w:sz w:val="16"/>
                <w:szCs w:val="16"/>
                <w:lang w:val="en-GB"/>
              </w:rPr>
              <w:t>,</w:t>
            </w:r>
            <w:r w:rsidRPr="00A71FFA">
              <w:rPr>
                <w:iCs/>
                <w:color w:val="000000"/>
                <w:sz w:val="16"/>
                <w:szCs w:val="16"/>
                <w:lang w:val="en-GB"/>
              </w:rPr>
              <w:t xml:space="preserve"> political parties, academia, Parliament, Judicial Council / courts, Prosecutorial Council /</w:t>
            </w:r>
            <w:r w:rsidR="00940942">
              <w:rPr>
                <w:iCs/>
                <w:color w:val="000000"/>
                <w:sz w:val="16"/>
                <w:szCs w:val="16"/>
                <w:lang w:val="en-GB"/>
              </w:rPr>
              <w:t xml:space="preserve"> s</w:t>
            </w:r>
            <w:r w:rsidRPr="00A71FFA">
              <w:rPr>
                <w:iCs/>
                <w:color w:val="000000"/>
                <w:sz w:val="16"/>
                <w:szCs w:val="16"/>
                <w:lang w:val="en-GB"/>
              </w:rPr>
              <w:t xml:space="preserve">tate </w:t>
            </w:r>
            <w:r w:rsidR="00940942">
              <w:rPr>
                <w:iCs/>
                <w:color w:val="000000"/>
                <w:sz w:val="16"/>
                <w:szCs w:val="16"/>
                <w:lang w:val="en-GB"/>
              </w:rPr>
              <w:t>p</w:t>
            </w:r>
            <w:r w:rsidRPr="00A71FFA">
              <w:rPr>
                <w:iCs/>
                <w:color w:val="000000"/>
                <w:sz w:val="16"/>
                <w:szCs w:val="16"/>
                <w:lang w:val="en-GB"/>
              </w:rPr>
              <w:t xml:space="preserve">rosecution </w:t>
            </w:r>
            <w:r w:rsidR="00940942">
              <w:rPr>
                <w:iCs/>
                <w:color w:val="000000"/>
                <w:sz w:val="16"/>
                <w:szCs w:val="16"/>
                <w:lang w:val="en-GB"/>
              </w:rPr>
              <w:t>o</w:t>
            </w:r>
            <w:r w:rsidRPr="00A71FFA">
              <w:rPr>
                <w:iCs/>
                <w:color w:val="000000"/>
                <w:sz w:val="16"/>
                <w:szCs w:val="16"/>
                <w:lang w:val="en-GB"/>
              </w:rPr>
              <w:t>ffices, Judicial Training Centr</w:t>
            </w:r>
            <w:r w:rsidR="00940942">
              <w:rPr>
                <w:iCs/>
                <w:color w:val="000000"/>
                <w:sz w:val="16"/>
                <w:szCs w:val="16"/>
                <w:lang w:val="en-GB"/>
              </w:rPr>
              <w:t>e</w:t>
            </w:r>
            <w:r w:rsidRPr="00A71FFA">
              <w:rPr>
                <w:iCs/>
                <w:color w:val="000000"/>
                <w:sz w:val="16"/>
                <w:szCs w:val="16"/>
                <w:lang w:val="en-GB"/>
              </w:rPr>
              <w:t>, Centr</w:t>
            </w:r>
            <w:r w:rsidR="00DB1024">
              <w:rPr>
                <w:iCs/>
                <w:color w:val="000000"/>
                <w:sz w:val="16"/>
                <w:szCs w:val="16"/>
                <w:lang w:val="en-GB"/>
              </w:rPr>
              <w:t>e</w:t>
            </w:r>
            <w:r w:rsidRPr="00A71FFA">
              <w:rPr>
                <w:iCs/>
                <w:color w:val="000000"/>
                <w:sz w:val="16"/>
                <w:szCs w:val="16"/>
                <w:lang w:val="en-GB"/>
              </w:rPr>
              <w:t xml:space="preserve"> for Mediation, Centre for Trainings, NGOs, </w:t>
            </w:r>
            <w:r w:rsidR="00940942">
              <w:rPr>
                <w:iCs/>
                <w:color w:val="000000"/>
                <w:sz w:val="16"/>
                <w:szCs w:val="16"/>
                <w:lang w:val="en-GB"/>
              </w:rPr>
              <w:t>o</w:t>
            </w:r>
            <w:r w:rsidRPr="00A71FFA">
              <w:rPr>
                <w:iCs/>
                <w:color w:val="000000"/>
                <w:sz w:val="16"/>
                <w:szCs w:val="16"/>
                <w:lang w:val="en-GB"/>
              </w:rPr>
              <w:t>mbudsman and other human rights institutions.</w:t>
            </w:r>
          </w:p>
        </w:tc>
        <w:tc>
          <w:tcPr>
            <w:tcW w:w="823" w:type="pct"/>
            <w:tcBorders>
              <w:bottom w:val="nil"/>
            </w:tcBorders>
            <w:tcMar>
              <w:top w:w="15" w:type="dxa"/>
              <w:left w:w="108" w:type="dxa"/>
              <w:bottom w:w="0" w:type="dxa"/>
              <w:right w:w="108" w:type="dxa"/>
            </w:tcMar>
          </w:tcPr>
          <w:p w14:paraId="3BDA7AD9" w14:textId="77777777" w:rsidR="008A70DD" w:rsidRPr="003F2C03" w:rsidRDefault="008A70DD" w:rsidP="00F5321D">
            <w:pPr>
              <w:rPr>
                <w:b/>
                <w:color w:val="000000"/>
                <w:sz w:val="16"/>
                <w:szCs w:val="16"/>
              </w:rPr>
            </w:pPr>
            <w:r w:rsidRPr="003F2C03">
              <w:rPr>
                <w:b/>
                <w:color w:val="000000"/>
                <w:sz w:val="16"/>
                <w:szCs w:val="16"/>
              </w:rPr>
              <w:t>Regular:</w:t>
            </w:r>
          </w:p>
          <w:p w14:paraId="2FDB40C9" w14:textId="2ACE1966" w:rsidR="008A70DD" w:rsidRPr="003F2C03" w:rsidRDefault="008A70DD" w:rsidP="00F5321D">
            <w:pPr>
              <w:rPr>
                <w:b/>
                <w:color w:val="000000"/>
                <w:sz w:val="16"/>
                <w:szCs w:val="16"/>
              </w:rPr>
            </w:pPr>
            <w:r w:rsidRPr="003F2C03">
              <w:rPr>
                <w:b/>
                <w:color w:val="000000"/>
                <w:sz w:val="16"/>
                <w:szCs w:val="16"/>
              </w:rPr>
              <w:t>2</w:t>
            </w:r>
            <w:r w:rsidR="009D5473" w:rsidRPr="003F2C03">
              <w:rPr>
                <w:b/>
                <w:color w:val="000000"/>
                <w:sz w:val="16"/>
                <w:szCs w:val="16"/>
              </w:rPr>
              <w:t>44</w:t>
            </w:r>
            <w:r w:rsidRPr="003F2C03">
              <w:rPr>
                <w:b/>
                <w:color w:val="000000"/>
                <w:sz w:val="16"/>
                <w:szCs w:val="16"/>
              </w:rPr>
              <w:t>,000</w:t>
            </w:r>
          </w:p>
          <w:p w14:paraId="09512BAD" w14:textId="77777777" w:rsidR="008A70DD" w:rsidRPr="003F2C03" w:rsidRDefault="008A70DD" w:rsidP="00F5321D">
            <w:pPr>
              <w:rPr>
                <w:b/>
                <w:color w:val="000000"/>
                <w:sz w:val="16"/>
                <w:szCs w:val="16"/>
              </w:rPr>
            </w:pPr>
          </w:p>
          <w:p w14:paraId="04702D5E" w14:textId="77777777" w:rsidR="008A70DD" w:rsidRPr="003F2C03" w:rsidRDefault="008A70DD" w:rsidP="00F5321D">
            <w:pPr>
              <w:rPr>
                <w:b/>
                <w:color w:val="000000"/>
                <w:sz w:val="16"/>
                <w:szCs w:val="16"/>
              </w:rPr>
            </w:pPr>
            <w:r w:rsidRPr="003F2C03">
              <w:rPr>
                <w:b/>
                <w:color w:val="000000"/>
                <w:sz w:val="16"/>
                <w:szCs w:val="16"/>
              </w:rPr>
              <w:t>Other ;</w:t>
            </w:r>
          </w:p>
          <w:p w14:paraId="0B89D75D" w14:textId="0BC0091E" w:rsidR="008A70DD" w:rsidRPr="003F2C03" w:rsidRDefault="0014549C" w:rsidP="009D5473">
            <w:pPr>
              <w:rPr>
                <w:b/>
                <w:color w:val="000000"/>
                <w:sz w:val="16"/>
                <w:szCs w:val="16"/>
              </w:rPr>
            </w:pPr>
            <w:r w:rsidRPr="003F2C03">
              <w:rPr>
                <w:b/>
                <w:color w:val="000000"/>
                <w:sz w:val="16"/>
                <w:szCs w:val="16"/>
              </w:rPr>
              <w:t>4,</w:t>
            </w:r>
            <w:r w:rsidR="009D5473" w:rsidRPr="003F2C03">
              <w:rPr>
                <w:b/>
                <w:color w:val="000000"/>
                <w:sz w:val="16"/>
                <w:szCs w:val="16"/>
              </w:rPr>
              <w:t>456</w:t>
            </w:r>
            <w:r w:rsidR="008A70DD" w:rsidRPr="003F2C03">
              <w:rPr>
                <w:b/>
                <w:color w:val="000000"/>
                <w:sz w:val="16"/>
                <w:szCs w:val="16"/>
              </w:rPr>
              <w:t>,000</w:t>
            </w:r>
          </w:p>
        </w:tc>
      </w:tr>
      <w:tr w:rsidR="00857B70" w:rsidRPr="003F2C03" w14:paraId="779284EE" w14:textId="77777777" w:rsidTr="00B83412">
        <w:tc>
          <w:tcPr>
            <w:tcW w:w="1135" w:type="pct"/>
            <w:vMerge/>
            <w:tcBorders>
              <w:bottom w:val="single" w:sz="4" w:space="0" w:color="auto"/>
            </w:tcBorders>
            <w:tcMar>
              <w:top w:w="72" w:type="dxa"/>
              <w:left w:w="144" w:type="dxa"/>
              <w:bottom w:w="72" w:type="dxa"/>
              <w:right w:w="144" w:type="dxa"/>
            </w:tcMar>
          </w:tcPr>
          <w:p w14:paraId="7B5C5383" w14:textId="77777777" w:rsidR="00857B70" w:rsidRPr="003F2C03" w:rsidRDefault="00857B70" w:rsidP="00F5321D">
            <w:pPr>
              <w:rPr>
                <w:i/>
                <w:iCs/>
                <w:color w:val="000000"/>
                <w:sz w:val="16"/>
                <w:szCs w:val="16"/>
                <w:lang w:val="en-GB"/>
              </w:rPr>
            </w:pPr>
          </w:p>
        </w:tc>
        <w:tc>
          <w:tcPr>
            <w:tcW w:w="705" w:type="pct"/>
            <w:vMerge/>
            <w:tcBorders>
              <w:bottom w:val="single" w:sz="4" w:space="0" w:color="auto"/>
            </w:tcBorders>
          </w:tcPr>
          <w:p w14:paraId="1FFCB756" w14:textId="77777777" w:rsidR="00857B70" w:rsidRPr="003F2C03" w:rsidRDefault="00857B70" w:rsidP="00F5321D">
            <w:pPr>
              <w:rPr>
                <w:i/>
                <w:iCs/>
                <w:color w:val="000000"/>
                <w:sz w:val="16"/>
                <w:szCs w:val="16"/>
                <w:lang w:val="en-GB"/>
              </w:rPr>
            </w:pPr>
          </w:p>
        </w:tc>
        <w:tc>
          <w:tcPr>
            <w:tcW w:w="1624" w:type="pct"/>
            <w:vMerge/>
            <w:tcBorders>
              <w:bottom w:val="single" w:sz="4" w:space="0" w:color="auto"/>
            </w:tcBorders>
            <w:tcMar>
              <w:top w:w="72" w:type="dxa"/>
              <w:left w:w="144" w:type="dxa"/>
              <w:bottom w:w="72" w:type="dxa"/>
              <w:right w:w="144" w:type="dxa"/>
            </w:tcMar>
          </w:tcPr>
          <w:p w14:paraId="3D1223B4" w14:textId="77777777" w:rsidR="00857B70" w:rsidRPr="003F2C03" w:rsidRDefault="00857B70" w:rsidP="00F5321D">
            <w:pPr>
              <w:rPr>
                <w:i/>
                <w:iCs/>
                <w:color w:val="000000"/>
                <w:sz w:val="16"/>
                <w:szCs w:val="16"/>
                <w:lang w:val="en-GB"/>
              </w:rPr>
            </w:pPr>
          </w:p>
        </w:tc>
        <w:tc>
          <w:tcPr>
            <w:tcW w:w="713" w:type="pct"/>
            <w:gridSpan w:val="3"/>
            <w:vMerge/>
            <w:tcBorders>
              <w:bottom w:val="single" w:sz="4" w:space="0" w:color="auto"/>
            </w:tcBorders>
          </w:tcPr>
          <w:p w14:paraId="7BF07279" w14:textId="77777777" w:rsidR="00857B70" w:rsidRPr="003F2C03" w:rsidRDefault="00857B70" w:rsidP="00F5321D">
            <w:pPr>
              <w:rPr>
                <w:i/>
                <w:iCs/>
                <w:color w:val="000000"/>
                <w:sz w:val="16"/>
                <w:szCs w:val="16"/>
                <w:lang w:val="en-GB"/>
              </w:rPr>
            </w:pPr>
          </w:p>
        </w:tc>
        <w:tc>
          <w:tcPr>
            <w:tcW w:w="823" w:type="pct"/>
            <w:tcBorders>
              <w:top w:val="nil"/>
              <w:bottom w:val="single" w:sz="4" w:space="0" w:color="auto"/>
            </w:tcBorders>
            <w:tcMar>
              <w:top w:w="15" w:type="dxa"/>
              <w:left w:w="108" w:type="dxa"/>
              <w:bottom w:w="0" w:type="dxa"/>
              <w:right w:w="108" w:type="dxa"/>
            </w:tcMar>
          </w:tcPr>
          <w:p w14:paraId="5264941A" w14:textId="24D12047" w:rsidR="00857B70" w:rsidRPr="003F2C03" w:rsidRDefault="00857B70" w:rsidP="00F5321D">
            <w:pPr>
              <w:rPr>
                <w:b/>
                <w:color w:val="000000"/>
                <w:sz w:val="16"/>
                <w:szCs w:val="16"/>
              </w:rPr>
            </w:pPr>
          </w:p>
        </w:tc>
      </w:tr>
      <w:tr w:rsidR="00857B70" w:rsidRPr="003F2C03" w14:paraId="3D4E9FC9" w14:textId="77777777" w:rsidTr="00B83412">
        <w:tc>
          <w:tcPr>
            <w:tcW w:w="5000" w:type="pct"/>
            <w:gridSpan w:val="7"/>
            <w:shd w:val="clear" w:color="auto" w:fill="auto"/>
            <w:tcMar>
              <w:top w:w="72" w:type="dxa"/>
              <w:left w:w="144" w:type="dxa"/>
              <w:bottom w:w="72" w:type="dxa"/>
              <w:right w:w="144" w:type="dxa"/>
            </w:tcMar>
          </w:tcPr>
          <w:p w14:paraId="4B029659" w14:textId="3D54D268" w:rsidR="00857B70" w:rsidRPr="003F2C03" w:rsidRDefault="00857B70" w:rsidP="00F5321D">
            <w:pPr>
              <w:rPr>
                <w:color w:val="000000"/>
                <w:sz w:val="16"/>
                <w:szCs w:val="16"/>
              </w:rPr>
            </w:pPr>
            <w:r w:rsidRPr="003F2C03">
              <w:rPr>
                <w:b/>
                <w:bCs/>
                <w:color w:val="000000"/>
                <w:sz w:val="16"/>
                <w:szCs w:val="16"/>
                <w:lang w:val="en-GB"/>
              </w:rPr>
              <w:t>NATIONAL PRIORITY OR GOAL</w:t>
            </w:r>
            <w:r w:rsidRPr="00A71FFA">
              <w:rPr>
                <w:b/>
                <w:bCs/>
                <w:sz w:val="16"/>
                <w:szCs w:val="16"/>
                <w:lang w:val="en-GB"/>
              </w:rPr>
              <w:t xml:space="preserve">: </w:t>
            </w:r>
            <w:r w:rsidRPr="00AA7688">
              <w:rPr>
                <w:bCs/>
                <w:iCs/>
                <w:sz w:val="16"/>
                <w:szCs w:val="16"/>
                <w:lang w:val="en-GB"/>
              </w:rPr>
              <w:t>Related to SDG</w:t>
            </w:r>
            <w:r w:rsidR="00515196" w:rsidRPr="00AA7688">
              <w:rPr>
                <w:bCs/>
                <w:iCs/>
                <w:sz w:val="16"/>
                <w:szCs w:val="16"/>
                <w:lang w:val="en-GB"/>
              </w:rPr>
              <w:t>s</w:t>
            </w:r>
            <w:r w:rsidRPr="00AA7688">
              <w:rPr>
                <w:bCs/>
                <w:iCs/>
                <w:sz w:val="16"/>
                <w:szCs w:val="16"/>
                <w:lang w:val="en-GB"/>
              </w:rPr>
              <w:t xml:space="preserve"> </w:t>
            </w:r>
            <w:r w:rsidRPr="00A71FFA">
              <w:rPr>
                <w:sz w:val="16"/>
                <w:szCs w:val="16"/>
              </w:rPr>
              <w:t xml:space="preserve">7, </w:t>
            </w:r>
            <w:r w:rsidRPr="003F2C03">
              <w:rPr>
                <w:sz w:val="16"/>
                <w:szCs w:val="16"/>
              </w:rPr>
              <w:t>11, 12, 13,15</w:t>
            </w:r>
          </w:p>
        </w:tc>
      </w:tr>
      <w:tr w:rsidR="00857B70" w:rsidRPr="003F2C03" w14:paraId="29365E6A" w14:textId="77777777" w:rsidTr="00B83412">
        <w:tc>
          <w:tcPr>
            <w:tcW w:w="5000" w:type="pct"/>
            <w:gridSpan w:val="7"/>
            <w:shd w:val="clear" w:color="auto" w:fill="auto"/>
            <w:tcMar>
              <w:top w:w="72" w:type="dxa"/>
              <w:left w:w="144" w:type="dxa"/>
              <w:bottom w:w="72" w:type="dxa"/>
              <w:right w:w="144" w:type="dxa"/>
            </w:tcMar>
          </w:tcPr>
          <w:p w14:paraId="0C54B87E" w14:textId="56048178" w:rsidR="00857B70" w:rsidRPr="003F2C03" w:rsidRDefault="00857B70" w:rsidP="0092563D">
            <w:pPr>
              <w:rPr>
                <w:color w:val="000000"/>
                <w:sz w:val="16"/>
                <w:szCs w:val="16"/>
              </w:rPr>
            </w:pPr>
            <w:r w:rsidRPr="003F2C03">
              <w:rPr>
                <w:b/>
                <w:bCs/>
                <w:color w:val="000000"/>
                <w:sz w:val="16"/>
                <w:szCs w:val="16"/>
                <w:lang w:val="en-GB"/>
              </w:rPr>
              <w:t>UNDAF (OR EQUIVALENT) OUTCOME INVOLVING UNDP</w:t>
            </w:r>
            <w:r w:rsidR="0092563D">
              <w:rPr>
                <w:b/>
                <w:bCs/>
                <w:color w:val="000000"/>
                <w:sz w:val="16"/>
                <w:szCs w:val="16"/>
                <w:lang w:val="en-GB"/>
              </w:rPr>
              <w:t>:</w:t>
            </w:r>
            <w:r w:rsidRPr="003F2C03">
              <w:rPr>
                <w:b/>
                <w:bCs/>
                <w:color w:val="000000"/>
                <w:sz w:val="16"/>
                <w:szCs w:val="16"/>
                <w:lang w:val="en-GB"/>
              </w:rPr>
              <w:t xml:space="preserve"> </w:t>
            </w:r>
            <w:r w:rsidRPr="00FA2BA3">
              <w:rPr>
                <w:sz w:val="16"/>
                <w:szCs w:val="16"/>
              </w:rPr>
              <w:t>2</w:t>
            </w:r>
            <w:r w:rsidR="0092563D" w:rsidRPr="00FA2BA3">
              <w:rPr>
                <w:sz w:val="16"/>
                <w:szCs w:val="16"/>
              </w:rPr>
              <w:t>.</w:t>
            </w:r>
            <w:r w:rsidRPr="00AA7688">
              <w:rPr>
                <w:sz w:val="16"/>
                <w:szCs w:val="16"/>
                <w:lang w:val="en-GB"/>
              </w:rPr>
              <w:t xml:space="preserve"> </w:t>
            </w:r>
            <w:r w:rsidRPr="00AA7688">
              <w:rPr>
                <w:iCs/>
                <w:sz w:val="16"/>
                <w:szCs w:val="16"/>
                <w:lang w:val="en-GB"/>
              </w:rPr>
              <w:t>By 2021, people of Montenegro benefit from sustainable management of natural resources, combating climate change and disaster risk reduction</w:t>
            </w:r>
            <w:r w:rsidR="00893942">
              <w:rPr>
                <w:iCs/>
                <w:sz w:val="16"/>
                <w:szCs w:val="16"/>
                <w:lang w:val="en-GB"/>
              </w:rPr>
              <w:t>.</w:t>
            </w:r>
          </w:p>
        </w:tc>
      </w:tr>
      <w:tr w:rsidR="00857B70" w:rsidRPr="003F2C03" w14:paraId="5882ADC5" w14:textId="77777777" w:rsidTr="00B83412">
        <w:tc>
          <w:tcPr>
            <w:tcW w:w="5000" w:type="pct"/>
            <w:gridSpan w:val="7"/>
            <w:shd w:val="clear" w:color="auto" w:fill="auto"/>
            <w:tcMar>
              <w:top w:w="72" w:type="dxa"/>
              <w:left w:w="144" w:type="dxa"/>
              <w:bottom w:w="72" w:type="dxa"/>
              <w:right w:w="144" w:type="dxa"/>
            </w:tcMar>
          </w:tcPr>
          <w:p w14:paraId="25D0DB88" w14:textId="26D7456D" w:rsidR="00857B70" w:rsidRPr="003F2C03" w:rsidRDefault="00857B70" w:rsidP="00E445CA">
            <w:pPr>
              <w:rPr>
                <w:b/>
                <w:bCs/>
                <w:color w:val="000000"/>
                <w:sz w:val="16"/>
                <w:szCs w:val="16"/>
                <w:lang w:val="en-GB"/>
              </w:rPr>
            </w:pPr>
            <w:r w:rsidRPr="003F2C03">
              <w:rPr>
                <w:b/>
                <w:bCs/>
                <w:color w:val="000000"/>
                <w:sz w:val="16"/>
                <w:szCs w:val="16"/>
                <w:lang w:val="en-GB"/>
              </w:rPr>
              <w:t>RELATED STRATEGIC PLAN OUTCOME (Strategic Plan 2014-2017)</w:t>
            </w:r>
            <w:r w:rsidR="00E445CA">
              <w:rPr>
                <w:b/>
                <w:bCs/>
                <w:color w:val="000000"/>
                <w:sz w:val="16"/>
                <w:szCs w:val="16"/>
                <w:lang w:val="en-GB"/>
              </w:rPr>
              <w:t>:</w:t>
            </w:r>
            <w:r w:rsidRPr="003F2C03">
              <w:rPr>
                <w:b/>
                <w:bCs/>
                <w:color w:val="000000"/>
                <w:sz w:val="16"/>
                <w:szCs w:val="16"/>
                <w:lang w:val="en-GB"/>
              </w:rPr>
              <w:t xml:space="preserve"> Outcome 1: Growth and development are inclusive and sustainable</w:t>
            </w:r>
            <w:r w:rsidR="00E445CA">
              <w:rPr>
                <w:b/>
                <w:bCs/>
                <w:color w:val="000000"/>
                <w:sz w:val="16"/>
                <w:szCs w:val="16"/>
                <w:lang w:val="en-GB"/>
              </w:rPr>
              <w:t>,</w:t>
            </w:r>
            <w:r w:rsidRPr="003F2C03">
              <w:rPr>
                <w:b/>
                <w:bCs/>
                <w:color w:val="000000"/>
                <w:sz w:val="16"/>
                <w:szCs w:val="16"/>
                <w:lang w:val="en-GB"/>
              </w:rPr>
              <w:t xml:space="preserve"> incorporating productive capacities that create employment and livelihoods for poor and excluded</w:t>
            </w:r>
            <w:r w:rsidR="00E445CA">
              <w:rPr>
                <w:b/>
                <w:bCs/>
                <w:color w:val="000000"/>
                <w:sz w:val="16"/>
                <w:szCs w:val="16"/>
                <w:lang w:val="en-GB"/>
              </w:rPr>
              <w:t xml:space="preserve"> people</w:t>
            </w:r>
            <w:r w:rsidR="00893942">
              <w:rPr>
                <w:b/>
                <w:bCs/>
                <w:color w:val="000000"/>
                <w:sz w:val="16"/>
                <w:szCs w:val="16"/>
                <w:lang w:val="en-GB"/>
              </w:rPr>
              <w:t>.</w:t>
            </w:r>
            <w:r w:rsidRPr="003F2C03">
              <w:rPr>
                <w:b/>
                <w:bCs/>
                <w:color w:val="000000"/>
                <w:sz w:val="16"/>
                <w:szCs w:val="16"/>
                <w:lang w:val="en-GB"/>
              </w:rPr>
              <w:t xml:space="preserve"> </w:t>
            </w:r>
          </w:p>
        </w:tc>
      </w:tr>
      <w:tr w:rsidR="008A70DD" w:rsidRPr="003F2C03" w14:paraId="10693BF2" w14:textId="77777777" w:rsidTr="005F172E">
        <w:tc>
          <w:tcPr>
            <w:tcW w:w="1135" w:type="pct"/>
            <w:tcMar>
              <w:top w:w="72" w:type="dxa"/>
              <w:left w:w="144" w:type="dxa"/>
              <w:bottom w:w="72" w:type="dxa"/>
              <w:right w:w="144" w:type="dxa"/>
            </w:tcMar>
            <w:vAlign w:val="center"/>
          </w:tcPr>
          <w:p w14:paraId="2B85BCF7" w14:textId="7A18B0DA" w:rsidR="008A70DD" w:rsidRPr="00C601A1" w:rsidRDefault="00063595" w:rsidP="00F5321D">
            <w:pPr>
              <w:rPr>
                <w:b/>
                <w:sz w:val="16"/>
                <w:szCs w:val="16"/>
                <w:lang w:eastAsia="uz-Cyrl-UZ"/>
              </w:rPr>
            </w:pPr>
            <w:r w:rsidRPr="003F2C03">
              <w:rPr>
                <w:b/>
                <w:sz w:val="16"/>
                <w:szCs w:val="16"/>
                <w:lang w:eastAsia="uz-Cyrl-UZ"/>
              </w:rPr>
              <w:t xml:space="preserve">Indicator 1: </w:t>
            </w:r>
            <w:r w:rsidRPr="00C601A1">
              <w:rPr>
                <w:b/>
                <w:sz w:val="16"/>
                <w:szCs w:val="16"/>
                <w:lang w:eastAsia="uz-Cyrl-UZ"/>
              </w:rPr>
              <w:t xml:space="preserve">Percentage </w:t>
            </w:r>
            <w:r w:rsidR="00515196" w:rsidRPr="00C601A1">
              <w:rPr>
                <w:b/>
                <w:sz w:val="16"/>
                <w:szCs w:val="16"/>
                <w:lang w:eastAsia="uz-Cyrl-UZ"/>
              </w:rPr>
              <w:t xml:space="preserve">of </w:t>
            </w:r>
            <w:r w:rsidR="008A70DD" w:rsidRPr="00C601A1">
              <w:rPr>
                <w:b/>
                <w:sz w:val="16"/>
                <w:szCs w:val="16"/>
                <w:lang w:eastAsia="uz-Cyrl-UZ"/>
              </w:rPr>
              <w:t xml:space="preserve">legislation related to environment and climate change in line with EU Acquis </w:t>
            </w:r>
          </w:p>
          <w:p w14:paraId="44AF205A" w14:textId="77777777" w:rsidR="008A70DD" w:rsidRPr="003F2C03" w:rsidRDefault="008A70DD" w:rsidP="00F5321D">
            <w:pPr>
              <w:rPr>
                <w:sz w:val="16"/>
                <w:szCs w:val="16"/>
                <w:lang w:eastAsia="uz-Cyrl-UZ"/>
              </w:rPr>
            </w:pPr>
          </w:p>
          <w:p w14:paraId="772619F4" w14:textId="2B8F3041" w:rsidR="008A70DD" w:rsidRPr="003F2C03" w:rsidRDefault="008A70DD" w:rsidP="00F5321D">
            <w:pPr>
              <w:rPr>
                <w:sz w:val="16"/>
                <w:szCs w:val="16"/>
                <w:lang w:eastAsia="uz-Cyrl-UZ"/>
              </w:rPr>
            </w:pPr>
            <w:r w:rsidRPr="00AA7688">
              <w:rPr>
                <w:b/>
                <w:sz w:val="16"/>
                <w:szCs w:val="16"/>
                <w:lang w:eastAsia="uz-Cyrl-UZ"/>
              </w:rPr>
              <w:t>Baseline</w:t>
            </w:r>
            <w:r w:rsidR="00063595" w:rsidRPr="00AA7688">
              <w:rPr>
                <w:b/>
                <w:sz w:val="16"/>
                <w:szCs w:val="16"/>
                <w:lang w:eastAsia="uz-Cyrl-UZ"/>
              </w:rPr>
              <w:t xml:space="preserve"> (2015):</w:t>
            </w:r>
            <w:r w:rsidR="00063595" w:rsidRPr="003F2C03">
              <w:rPr>
                <w:sz w:val="16"/>
                <w:szCs w:val="16"/>
                <w:lang w:eastAsia="uz-Cyrl-UZ"/>
              </w:rPr>
              <w:t xml:space="preserve"> </w:t>
            </w:r>
            <w:r w:rsidRPr="003F2C03">
              <w:rPr>
                <w:sz w:val="16"/>
                <w:szCs w:val="16"/>
                <w:lang w:eastAsia="uz-Cyrl-UZ"/>
              </w:rPr>
              <w:t xml:space="preserve">60% </w:t>
            </w:r>
          </w:p>
          <w:p w14:paraId="3EEB1523" w14:textId="04077C6F" w:rsidR="008A70DD" w:rsidRPr="00B83412" w:rsidRDefault="008A70DD" w:rsidP="00F5321D">
            <w:pPr>
              <w:rPr>
                <w:sz w:val="16"/>
                <w:szCs w:val="16"/>
                <w:lang w:eastAsia="uz-Cyrl-UZ"/>
              </w:rPr>
            </w:pPr>
            <w:r w:rsidRPr="00AA7688">
              <w:rPr>
                <w:b/>
                <w:sz w:val="16"/>
                <w:szCs w:val="16"/>
                <w:lang w:eastAsia="uz-Cyrl-UZ"/>
              </w:rPr>
              <w:t>Target</w:t>
            </w:r>
            <w:r w:rsidR="00063595" w:rsidRPr="00AA7688">
              <w:rPr>
                <w:b/>
                <w:sz w:val="16"/>
                <w:szCs w:val="16"/>
                <w:lang w:eastAsia="uz-Cyrl-UZ"/>
              </w:rPr>
              <w:t xml:space="preserve"> (2021):</w:t>
            </w:r>
            <w:r w:rsidR="00063595" w:rsidRPr="003F2C03">
              <w:rPr>
                <w:sz w:val="16"/>
                <w:szCs w:val="16"/>
                <w:lang w:eastAsia="uz-Cyrl-UZ"/>
              </w:rPr>
              <w:t xml:space="preserve"> </w:t>
            </w:r>
            <w:r w:rsidRPr="003F2C03">
              <w:rPr>
                <w:sz w:val="16"/>
                <w:szCs w:val="16"/>
                <w:lang w:eastAsia="uz-Cyrl-UZ"/>
              </w:rPr>
              <w:t>100%</w:t>
            </w:r>
            <w:r w:rsidR="00063595" w:rsidRPr="003F2C03">
              <w:rPr>
                <w:sz w:val="16"/>
                <w:szCs w:val="16"/>
                <w:lang w:eastAsia="uz-Cyrl-UZ"/>
              </w:rPr>
              <w:t xml:space="preserve"> </w:t>
            </w:r>
          </w:p>
          <w:p w14:paraId="543AB907" w14:textId="77777777" w:rsidR="008A70DD" w:rsidRPr="003F2C03" w:rsidRDefault="008A70DD" w:rsidP="00F5321D">
            <w:pPr>
              <w:rPr>
                <w:i/>
                <w:iCs/>
                <w:color w:val="000000"/>
                <w:sz w:val="16"/>
                <w:szCs w:val="16"/>
                <w:lang w:val="en-GB"/>
              </w:rPr>
            </w:pPr>
          </w:p>
        </w:tc>
        <w:tc>
          <w:tcPr>
            <w:tcW w:w="705" w:type="pct"/>
            <w:shd w:val="clear" w:color="auto" w:fill="auto"/>
            <w:vAlign w:val="center"/>
          </w:tcPr>
          <w:p w14:paraId="6BD92E09" w14:textId="017F4270" w:rsidR="008A70DD" w:rsidRPr="003F2C03" w:rsidRDefault="008A70DD" w:rsidP="00F5321D">
            <w:pPr>
              <w:rPr>
                <w:sz w:val="16"/>
                <w:szCs w:val="16"/>
                <w:lang w:eastAsia="uz-Cyrl-UZ"/>
              </w:rPr>
            </w:pPr>
            <w:r w:rsidRPr="003F2C03">
              <w:rPr>
                <w:sz w:val="16"/>
                <w:szCs w:val="16"/>
                <w:lang w:eastAsia="uz-Cyrl-UZ"/>
              </w:rPr>
              <w:t xml:space="preserve">EU </w:t>
            </w:r>
            <w:r w:rsidR="00E60EDA">
              <w:rPr>
                <w:sz w:val="16"/>
                <w:szCs w:val="16"/>
                <w:lang w:eastAsia="uz-Cyrl-UZ"/>
              </w:rPr>
              <w:t>p</w:t>
            </w:r>
            <w:r w:rsidRPr="003F2C03">
              <w:rPr>
                <w:sz w:val="16"/>
                <w:szCs w:val="16"/>
                <w:lang w:eastAsia="uz-Cyrl-UZ"/>
              </w:rPr>
              <w:t>rogress reports</w:t>
            </w:r>
          </w:p>
          <w:p w14:paraId="671D65AB" w14:textId="1BC822AF" w:rsidR="008A70DD" w:rsidRPr="003F2C03" w:rsidRDefault="00832824" w:rsidP="00F5321D">
            <w:pPr>
              <w:rPr>
                <w:sz w:val="16"/>
                <w:szCs w:val="16"/>
                <w:lang w:eastAsia="uz-Cyrl-UZ"/>
              </w:rPr>
            </w:pPr>
            <w:r>
              <w:rPr>
                <w:sz w:val="16"/>
                <w:szCs w:val="16"/>
                <w:lang w:eastAsia="uz-Cyrl-UZ"/>
              </w:rPr>
              <w:t xml:space="preserve">Report </w:t>
            </w:r>
            <w:r w:rsidRPr="003F2C03">
              <w:rPr>
                <w:sz w:val="16"/>
                <w:szCs w:val="16"/>
                <w:lang w:eastAsia="uz-Cyrl-UZ"/>
              </w:rPr>
              <w:t>to U</w:t>
            </w:r>
            <w:r>
              <w:rPr>
                <w:sz w:val="16"/>
                <w:szCs w:val="16"/>
                <w:lang w:eastAsia="uz-Cyrl-UZ"/>
              </w:rPr>
              <w:t>nited Nations Framework Convention on Climate Change,</w:t>
            </w:r>
            <w:r w:rsidRPr="003F2C03" w:rsidDel="00832824">
              <w:rPr>
                <w:sz w:val="16"/>
                <w:szCs w:val="16"/>
                <w:lang w:eastAsia="uz-Cyrl-UZ"/>
              </w:rPr>
              <w:t xml:space="preserve"> </w:t>
            </w:r>
            <w:r w:rsidR="008A70DD" w:rsidRPr="003F2C03">
              <w:rPr>
                <w:sz w:val="16"/>
                <w:szCs w:val="16"/>
                <w:lang w:eastAsia="uz-Cyrl-UZ"/>
              </w:rPr>
              <w:t xml:space="preserve">Environmental </w:t>
            </w:r>
            <w:r w:rsidR="00C601A1">
              <w:rPr>
                <w:sz w:val="16"/>
                <w:szCs w:val="16"/>
                <w:lang w:eastAsia="uz-Cyrl-UZ"/>
              </w:rPr>
              <w:t xml:space="preserve">Protection </w:t>
            </w:r>
            <w:r>
              <w:rPr>
                <w:sz w:val="16"/>
                <w:szCs w:val="16"/>
                <w:lang w:eastAsia="uz-Cyrl-UZ"/>
              </w:rPr>
              <w:t>A</w:t>
            </w:r>
            <w:r w:rsidR="008A70DD" w:rsidRPr="003F2C03">
              <w:rPr>
                <w:sz w:val="16"/>
                <w:szCs w:val="16"/>
                <w:lang w:eastAsia="uz-Cyrl-UZ"/>
              </w:rPr>
              <w:t xml:space="preserve">gency </w:t>
            </w:r>
            <w:r w:rsidR="00515196">
              <w:rPr>
                <w:sz w:val="16"/>
                <w:szCs w:val="16"/>
                <w:lang w:eastAsia="uz-Cyrl-UZ"/>
              </w:rPr>
              <w:t>r</w:t>
            </w:r>
            <w:r w:rsidR="008A70DD" w:rsidRPr="003F2C03">
              <w:rPr>
                <w:sz w:val="16"/>
                <w:szCs w:val="16"/>
                <w:lang w:eastAsia="uz-Cyrl-UZ"/>
              </w:rPr>
              <w:t>eports</w:t>
            </w:r>
          </w:p>
          <w:p w14:paraId="6DD236DF" w14:textId="77777777" w:rsidR="008A70DD" w:rsidRPr="003F2C03" w:rsidRDefault="008A70DD" w:rsidP="00F5321D">
            <w:pPr>
              <w:rPr>
                <w:i/>
                <w:iCs/>
                <w:color w:val="000000"/>
                <w:sz w:val="16"/>
                <w:szCs w:val="16"/>
                <w:lang w:val="en-GB"/>
              </w:rPr>
            </w:pPr>
            <w:r w:rsidRPr="003F2C03">
              <w:rPr>
                <w:sz w:val="16"/>
                <w:szCs w:val="16"/>
                <w:lang w:eastAsia="uz-Cyrl-UZ"/>
              </w:rPr>
              <w:t>MONSTAT</w:t>
            </w:r>
          </w:p>
          <w:p w14:paraId="348FFC7A" w14:textId="77777777" w:rsidR="008A70DD" w:rsidRPr="003F2C03" w:rsidRDefault="008A70DD" w:rsidP="00F5321D">
            <w:pPr>
              <w:rPr>
                <w:i/>
                <w:iCs/>
                <w:color w:val="000000"/>
                <w:sz w:val="16"/>
                <w:szCs w:val="16"/>
                <w:lang w:val="en-GB"/>
              </w:rPr>
            </w:pPr>
            <w:r w:rsidRPr="003F2C03">
              <w:rPr>
                <w:sz w:val="16"/>
                <w:szCs w:val="16"/>
                <w:lang w:eastAsia="uz-Cyrl-UZ"/>
              </w:rPr>
              <w:t xml:space="preserve">  </w:t>
            </w:r>
          </w:p>
        </w:tc>
        <w:tc>
          <w:tcPr>
            <w:tcW w:w="1624" w:type="pct"/>
            <w:tcMar>
              <w:top w:w="72" w:type="dxa"/>
              <w:left w:w="144" w:type="dxa"/>
              <w:bottom w:w="72" w:type="dxa"/>
              <w:right w:w="144" w:type="dxa"/>
            </w:tcMar>
          </w:tcPr>
          <w:p w14:paraId="12D5AAB7" w14:textId="67E74300" w:rsidR="008A70DD" w:rsidRPr="003F2C03" w:rsidRDefault="008A70DD" w:rsidP="00F5321D">
            <w:pPr>
              <w:rPr>
                <w:iCs/>
                <w:sz w:val="16"/>
                <w:szCs w:val="16"/>
                <w:lang w:val="en-GB"/>
              </w:rPr>
            </w:pPr>
            <w:r w:rsidRPr="003F2C03">
              <w:rPr>
                <w:b/>
                <w:iCs/>
                <w:sz w:val="16"/>
                <w:szCs w:val="16"/>
                <w:lang w:val="en-GB"/>
              </w:rPr>
              <w:t>Output 2.1:</w:t>
            </w:r>
            <w:r w:rsidRPr="003F2C03">
              <w:rPr>
                <w:iCs/>
                <w:sz w:val="16"/>
                <w:szCs w:val="16"/>
                <w:lang w:val="en-GB"/>
              </w:rPr>
              <w:t xml:space="preserve"> Climate change and environment targets integrated into national policies, strategies and planning </w:t>
            </w:r>
          </w:p>
          <w:p w14:paraId="4E1E8918" w14:textId="3BEE1D63" w:rsidR="008A70DD" w:rsidRPr="003F2C03" w:rsidRDefault="008A70DD" w:rsidP="00F5321D">
            <w:pPr>
              <w:rPr>
                <w:iCs/>
                <w:sz w:val="16"/>
                <w:szCs w:val="16"/>
                <w:lang w:val="en-GB"/>
              </w:rPr>
            </w:pPr>
            <w:r w:rsidRPr="003F2C03">
              <w:rPr>
                <w:b/>
                <w:iCs/>
                <w:sz w:val="16"/>
                <w:szCs w:val="16"/>
                <w:lang w:val="en-GB"/>
              </w:rPr>
              <w:t>Indicator 2.1.1:</w:t>
            </w:r>
            <w:r w:rsidR="00515196">
              <w:rPr>
                <w:b/>
                <w:iCs/>
                <w:sz w:val="16"/>
                <w:szCs w:val="16"/>
                <w:lang w:val="en-GB"/>
              </w:rPr>
              <w:t xml:space="preserve"> </w:t>
            </w:r>
            <w:r w:rsidRPr="003F2C03">
              <w:rPr>
                <w:iCs/>
                <w:sz w:val="16"/>
                <w:szCs w:val="16"/>
                <w:lang w:val="en-GB"/>
              </w:rPr>
              <w:t xml:space="preserve">Number of reports adopted and sent to relevant bodies in charge of </w:t>
            </w:r>
            <w:r w:rsidR="00515196">
              <w:rPr>
                <w:iCs/>
                <w:sz w:val="16"/>
                <w:szCs w:val="16"/>
                <w:lang w:val="en-GB"/>
              </w:rPr>
              <w:t>i</w:t>
            </w:r>
            <w:r w:rsidRPr="003F2C03">
              <w:rPr>
                <w:iCs/>
                <w:sz w:val="16"/>
                <w:szCs w:val="16"/>
                <w:lang w:val="en-GB"/>
              </w:rPr>
              <w:t xml:space="preserve">nternational </w:t>
            </w:r>
            <w:r w:rsidR="00515196">
              <w:rPr>
                <w:iCs/>
                <w:sz w:val="16"/>
                <w:szCs w:val="16"/>
                <w:lang w:val="en-GB"/>
              </w:rPr>
              <w:t>c</w:t>
            </w:r>
            <w:r w:rsidRPr="003F2C03">
              <w:rPr>
                <w:iCs/>
                <w:sz w:val="16"/>
                <w:szCs w:val="16"/>
                <w:lang w:val="en-GB"/>
              </w:rPr>
              <w:t xml:space="preserve">onventions.  </w:t>
            </w:r>
          </w:p>
          <w:p w14:paraId="047E4114" w14:textId="05078AA1" w:rsidR="008A70DD" w:rsidRPr="003F2C03" w:rsidRDefault="008A70DD" w:rsidP="00F5321D">
            <w:pPr>
              <w:rPr>
                <w:iCs/>
                <w:sz w:val="16"/>
                <w:szCs w:val="16"/>
                <w:lang w:val="en-GB"/>
              </w:rPr>
            </w:pPr>
            <w:r w:rsidRPr="00AA7688">
              <w:rPr>
                <w:b/>
                <w:sz w:val="16"/>
                <w:szCs w:val="16"/>
                <w:lang w:eastAsia="uz-Cyrl-UZ"/>
              </w:rPr>
              <w:t>Baseline</w:t>
            </w:r>
            <w:r w:rsidR="00515196" w:rsidRPr="00AA7688">
              <w:rPr>
                <w:b/>
                <w:sz w:val="16"/>
                <w:szCs w:val="16"/>
                <w:lang w:eastAsia="uz-Cyrl-UZ"/>
              </w:rPr>
              <w:t xml:space="preserve"> </w:t>
            </w:r>
            <w:r w:rsidR="00515196" w:rsidRPr="00AA7688">
              <w:rPr>
                <w:sz w:val="16"/>
                <w:szCs w:val="16"/>
                <w:lang w:eastAsia="uz-Cyrl-UZ"/>
              </w:rPr>
              <w:t>(2015):</w:t>
            </w:r>
            <w:r w:rsidRPr="003F2C03">
              <w:rPr>
                <w:sz w:val="16"/>
                <w:szCs w:val="16"/>
                <w:lang w:eastAsia="uz-Cyrl-UZ"/>
              </w:rPr>
              <w:t xml:space="preserve"> 3 </w:t>
            </w:r>
          </w:p>
          <w:p w14:paraId="7A934A32" w14:textId="38D3FFD6" w:rsidR="008A70DD" w:rsidRPr="003F2C03" w:rsidRDefault="008A70DD" w:rsidP="00F5321D">
            <w:pPr>
              <w:rPr>
                <w:iCs/>
                <w:sz w:val="16"/>
                <w:szCs w:val="16"/>
                <w:lang w:val="en-GB"/>
              </w:rPr>
            </w:pPr>
            <w:r w:rsidRPr="00AA7688">
              <w:rPr>
                <w:b/>
                <w:sz w:val="16"/>
                <w:szCs w:val="16"/>
                <w:lang w:eastAsia="uz-Cyrl-UZ"/>
              </w:rPr>
              <w:t>Target</w:t>
            </w:r>
            <w:r w:rsidR="00515196" w:rsidRPr="00AA7688">
              <w:rPr>
                <w:b/>
                <w:sz w:val="16"/>
                <w:szCs w:val="16"/>
                <w:lang w:eastAsia="uz-Cyrl-UZ"/>
              </w:rPr>
              <w:t xml:space="preserve"> </w:t>
            </w:r>
            <w:r w:rsidR="00515196" w:rsidRPr="00AA7688">
              <w:rPr>
                <w:sz w:val="16"/>
                <w:szCs w:val="16"/>
                <w:lang w:eastAsia="uz-Cyrl-UZ"/>
              </w:rPr>
              <w:t>(2021):</w:t>
            </w:r>
            <w:r w:rsidRPr="003F2C03">
              <w:rPr>
                <w:b/>
                <w:sz w:val="16"/>
                <w:szCs w:val="16"/>
                <w:lang w:eastAsia="uz-Cyrl-UZ"/>
              </w:rPr>
              <w:t xml:space="preserve"> </w:t>
            </w:r>
            <w:r w:rsidRPr="003F2C03">
              <w:rPr>
                <w:sz w:val="16"/>
                <w:szCs w:val="16"/>
                <w:lang w:eastAsia="uz-Cyrl-UZ"/>
              </w:rPr>
              <w:t xml:space="preserve">6 </w:t>
            </w:r>
          </w:p>
          <w:p w14:paraId="7F924743" w14:textId="77777777" w:rsidR="008A70DD" w:rsidRPr="003F2C03" w:rsidRDefault="008A70DD" w:rsidP="00F5321D">
            <w:pPr>
              <w:rPr>
                <w:iCs/>
                <w:sz w:val="16"/>
                <w:szCs w:val="16"/>
                <w:lang w:val="en-GB"/>
              </w:rPr>
            </w:pPr>
          </w:p>
          <w:p w14:paraId="7EE50B61" w14:textId="380A9819" w:rsidR="008A70DD" w:rsidRPr="003F2C03" w:rsidRDefault="008A70DD" w:rsidP="00F5321D">
            <w:pPr>
              <w:rPr>
                <w:iCs/>
                <w:sz w:val="16"/>
                <w:szCs w:val="16"/>
                <w:lang w:val="en-GB"/>
              </w:rPr>
            </w:pPr>
            <w:r w:rsidRPr="003F2C03">
              <w:rPr>
                <w:b/>
                <w:iCs/>
                <w:sz w:val="16"/>
                <w:szCs w:val="16"/>
                <w:lang w:val="en-GB"/>
              </w:rPr>
              <w:t>Indicator 2.1.2:</w:t>
            </w:r>
            <w:r w:rsidR="00515196">
              <w:rPr>
                <w:b/>
                <w:iCs/>
                <w:sz w:val="16"/>
                <w:szCs w:val="16"/>
                <w:lang w:val="en-GB"/>
              </w:rPr>
              <w:t xml:space="preserve"> </w:t>
            </w:r>
            <w:r w:rsidRPr="003F2C03">
              <w:rPr>
                <w:iCs/>
                <w:sz w:val="16"/>
                <w:szCs w:val="16"/>
                <w:lang w:val="en-GB"/>
              </w:rPr>
              <w:t xml:space="preserve">Number of spatial/urban plans developed with UNDP support that integrate low carbon development features. </w:t>
            </w:r>
          </w:p>
          <w:p w14:paraId="33F27962" w14:textId="0979CB61" w:rsidR="008A70DD" w:rsidRPr="003F2C03" w:rsidRDefault="008A70DD" w:rsidP="00F5321D">
            <w:pPr>
              <w:rPr>
                <w:b/>
                <w:iCs/>
                <w:sz w:val="16"/>
                <w:szCs w:val="16"/>
                <w:lang w:val="en-GB"/>
              </w:rPr>
            </w:pPr>
            <w:r w:rsidRPr="003F2C03">
              <w:rPr>
                <w:b/>
                <w:iCs/>
                <w:sz w:val="16"/>
                <w:szCs w:val="16"/>
                <w:lang w:val="en-GB"/>
              </w:rPr>
              <w:t>Baseline</w:t>
            </w:r>
            <w:r w:rsidR="00515196">
              <w:rPr>
                <w:b/>
                <w:iCs/>
                <w:sz w:val="16"/>
                <w:szCs w:val="16"/>
                <w:lang w:val="en-GB"/>
              </w:rPr>
              <w:t xml:space="preserve"> </w:t>
            </w:r>
            <w:r w:rsidR="00515196" w:rsidRPr="00AA7688">
              <w:rPr>
                <w:iCs/>
                <w:sz w:val="16"/>
                <w:szCs w:val="16"/>
                <w:lang w:val="en-GB"/>
              </w:rPr>
              <w:t>(2015)</w:t>
            </w:r>
            <w:r w:rsidRPr="00AA7688">
              <w:rPr>
                <w:iCs/>
                <w:sz w:val="16"/>
                <w:szCs w:val="16"/>
                <w:lang w:val="en-GB"/>
              </w:rPr>
              <w:t>:</w:t>
            </w:r>
            <w:r w:rsidRPr="003F2C03">
              <w:rPr>
                <w:b/>
                <w:iCs/>
                <w:sz w:val="16"/>
                <w:szCs w:val="16"/>
                <w:lang w:val="en-GB"/>
              </w:rPr>
              <w:t xml:space="preserve"> </w:t>
            </w:r>
            <w:r w:rsidRPr="003F2C03">
              <w:rPr>
                <w:iCs/>
                <w:sz w:val="16"/>
                <w:szCs w:val="16"/>
                <w:lang w:val="en-GB"/>
              </w:rPr>
              <w:t xml:space="preserve">0 </w:t>
            </w:r>
          </w:p>
          <w:p w14:paraId="782762DD" w14:textId="207C08FB" w:rsidR="008A70DD" w:rsidRPr="003F2C03" w:rsidRDefault="008A70DD" w:rsidP="00F5321D">
            <w:pPr>
              <w:rPr>
                <w:iCs/>
                <w:sz w:val="16"/>
                <w:szCs w:val="16"/>
                <w:lang w:val="en-GB"/>
              </w:rPr>
            </w:pPr>
            <w:r w:rsidRPr="003F2C03">
              <w:rPr>
                <w:b/>
                <w:iCs/>
                <w:sz w:val="16"/>
                <w:szCs w:val="16"/>
                <w:lang w:val="en-GB"/>
              </w:rPr>
              <w:t>Target</w:t>
            </w:r>
            <w:r w:rsidR="00515196">
              <w:rPr>
                <w:b/>
                <w:iCs/>
                <w:sz w:val="16"/>
                <w:szCs w:val="16"/>
                <w:lang w:val="en-GB"/>
              </w:rPr>
              <w:t xml:space="preserve"> </w:t>
            </w:r>
            <w:r w:rsidR="00515196" w:rsidRPr="00AA7688">
              <w:rPr>
                <w:iCs/>
                <w:sz w:val="16"/>
                <w:szCs w:val="16"/>
                <w:lang w:val="en-GB"/>
              </w:rPr>
              <w:t>(2021)</w:t>
            </w:r>
            <w:r w:rsidRPr="00AA7688">
              <w:rPr>
                <w:iCs/>
                <w:sz w:val="16"/>
                <w:szCs w:val="16"/>
                <w:lang w:val="en-GB"/>
              </w:rPr>
              <w:t>:</w:t>
            </w:r>
            <w:r w:rsidRPr="003F2C03">
              <w:rPr>
                <w:b/>
                <w:iCs/>
                <w:sz w:val="16"/>
                <w:szCs w:val="16"/>
                <w:lang w:val="en-GB"/>
              </w:rPr>
              <w:t xml:space="preserve"> </w:t>
            </w:r>
            <w:r w:rsidRPr="003F2C03">
              <w:rPr>
                <w:iCs/>
                <w:sz w:val="16"/>
                <w:szCs w:val="16"/>
                <w:lang w:val="en-GB"/>
              </w:rPr>
              <w:t>2</w:t>
            </w:r>
          </w:p>
          <w:p w14:paraId="1A08B651" w14:textId="28D89211" w:rsidR="008A70DD" w:rsidRPr="003F2C03" w:rsidRDefault="008A70DD" w:rsidP="00515196">
            <w:pPr>
              <w:rPr>
                <w:b/>
                <w:iCs/>
                <w:sz w:val="16"/>
                <w:szCs w:val="16"/>
                <w:lang w:val="en-GB"/>
              </w:rPr>
            </w:pPr>
            <w:r w:rsidRPr="003F2C03">
              <w:rPr>
                <w:b/>
                <w:iCs/>
                <w:sz w:val="16"/>
                <w:szCs w:val="16"/>
                <w:lang w:val="en-GB"/>
              </w:rPr>
              <w:t>Means of verification</w:t>
            </w:r>
            <w:r w:rsidRPr="003F2C03">
              <w:rPr>
                <w:iCs/>
                <w:sz w:val="16"/>
                <w:szCs w:val="16"/>
                <w:lang w:val="en-GB"/>
              </w:rPr>
              <w:t xml:space="preserve">: EU progress reports, </w:t>
            </w:r>
            <w:r w:rsidR="00515196">
              <w:rPr>
                <w:iCs/>
                <w:sz w:val="16"/>
                <w:szCs w:val="16"/>
                <w:lang w:val="en-GB"/>
              </w:rPr>
              <w:t>a</w:t>
            </w:r>
            <w:r w:rsidRPr="003F2C03">
              <w:rPr>
                <w:iCs/>
                <w:sz w:val="16"/>
                <w:szCs w:val="16"/>
                <w:lang w:val="en-GB"/>
              </w:rPr>
              <w:t xml:space="preserve">nnual reports of Ministry for Sustainable </w:t>
            </w:r>
            <w:r w:rsidR="00515196">
              <w:rPr>
                <w:iCs/>
                <w:sz w:val="16"/>
                <w:szCs w:val="16"/>
                <w:lang w:val="en-GB"/>
              </w:rPr>
              <w:t>D</w:t>
            </w:r>
            <w:r w:rsidRPr="003F2C03">
              <w:rPr>
                <w:iCs/>
                <w:sz w:val="16"/>
                <w:szCs w:val="16"/>
                <w:lang w:val="en-GB"/>
              </w:rPr>
              <w:t>evelopment and Tourism</w:t>
            </w:r>
          </w:p>
        </w:tc>
        <w:tc>
          <w:tcPr>
            <w:tcW w:w="705" w:type="pct"/>
            <w:gridSpan w:val="2"/>
          </w:tcPr>
          <w:p w14:paraId="5B4708FB" w14:textId="55AFBB24" w:rsidR="008A70DD" w:rsidRPr="00A71FFA" w:rsidRDefault="008A70DD" w:rsidP="008227E8">
            <w:pPr>
              <w:rPr>
                <w:iCs/>
                <w:color w:val="000000"/>
                <w:sz w:val="16"/>
                <w:szCs w:val="16"/>
                <w:lang w:val="en-GB"/>
              </w:rPr>
            </w:pPr>
            <w:r w:rsidRPr="00A71FFA">
              <w:rPr>
                <w:iCs/>
                <w:color w:val="000000"/>
                <w:sz w:val="16"/>
                <w:szCs w:val="16"/>
                <w:lang w:val="en-GB"/>
              </w:rPr>
              <w:t>Universit</w:t>
            </w:r>
            <w:r w:rsidR="004B4840">
              <w:rPr>
                <w:iCs/>
                <w:color w:val="000000"/>
                <w:sz w:val="16"/>
                <w:szCs w:val="16"/>
                <w:lang w:val="en-GB"/>
              </w:rPr>
              <w:t>ies in  Montenegro</w:t>
            </w:r>
            <w:r w:rsidRPr="00A71FFA">
              <w:rPr>
                <w:iCs/>
                <w:color w:val="000000"/>
                <w:sz w:val="16"/>
                <w:szCs w:val="16"/>
                <w:lang w:val="en-GB"/>
              </w:rPr>
              <w:t xml:space="preserve"> and the Academ</w:t>
            </w:r>
            <w:r w:rsidR="00515196">
              <w:rPr>
                <w:iCs/>
                <w:color w:val="000000"/>
                <w:sz w:val="16"/>
                <w:szCs w:val="16"/>
                <w:lang w:val="en-GB"/>
              </w:rPr>
              <w:t>y</w:t>
            </w:r>
            <w:r w:rsidRPr="00A71FFA">
              <w:rPr>
                <w:iCs/>
                <w:color w:val="000000"/>
                <w:sz w:val="16"/>
                <w:szCs w:val="16"/>
                <w:lang w:val="en-GB"/>
              </w:rPr>
              <w:t xml:space="preserve"> of </w:t>
            </w:r>
            <w:r w:rsidR="00515196">
              <w:rPr>
                <w:iCs/>
                <w:color w:val="000000"/>
                <w:sz w:val="16"/>
                <w:szCs w:val="16"/>
                <w:lang w:val="en-GB"/>
              </w:rPr>
              <w:t>S</w:t>
            </w:r>
            <w:r w:rsidRPr="00A71FFA">
              <w:rPr>
                <w:iCs/>
                <w:color w:val="000000"/>
                <w:sz w:val="16"/>
                <w:szCs w:val="16"/>
                <w:lang w:val="en-GB"/>
              </w:rPr>
              <w:t>cience</w:t>
            </w:r>
            <w:r w:rsidR="008227E8">
              <w:rPr>
                <w:iCs/>
                <w:color w:val="000000"/>
                <w:sz w:val="16"/>
                <w:szCs w:val="16"/>
                <w:lang w:val="en-GB"/>
              </w:rPr>
              <w:t>;</w:t>
            </w:r>
            <w:r w:rsidRPr="00A71FFA">
              <w:rPr>
                <w:iCs/>
                <w:color w:val="000000"/>
                <w:sz w:val="16"/>
                <w:szCs w:val="16"/>
                <w:lang w:val="en-GB"/>
              </w:rPr>
              <w:t xml:space="preserve"> NGOs</w:t>
            </w:r>
            <w:r w:rsidR="008227E8">
              <w:rPr>
                <w:iCs/>
                <w:color w:val="000000"/>
                <w:sz w:val="16"/>
                <w:szCs w:val="16"/>
                <w:lang w:val="en-GB"/>
              </w:rPr>
              <w:t>;</w:t>
            </w:r>
            <w:r w:rsidRPr="00A71FFA">
              <w:rPr>
                <w:iCs/>
                <w:color w:val="000000"/>
                <w:sz w:val="16"/>
                <w:szCs w:val="16"/>
                <w:lang w:val="en-GB"/>
              </w:rPr>
              <w:t xml:space="preserve"> Man and Biosphere National Committee</w:t>
            </w:r>
            <w:r w:rsidR="008227E8">
              <w:rPr>
                <w:iCs/>
                <w:color w:val="000000"/>
                <w:sz w:val="16"/>
                <w:szCs w:val="16"/>
                <w:lang w:val="en-GB"/>
              </w:rPr>
              <w:t>;</w:t>
            </w:r>
            <w:r w:rsidRPr="00A71FFA">
              <w:rPr>
                <w:iCs/>
                <w:color w:val="000000"/>
                <w:sz w:val="16"/>
                <w:szCs w:val="16"/>
                <w:lang w:val="en-GB"/>
              </w:rPr>
              <w:t xml:space="preserve"> Parliament</w:t>
            </w:r>
            <w:r w:rsidR="008227E8">
              <w:rPr>
                <w:iCs/>
                <w:color w:val="000000"/>
                <w:sz w:val="16"/>
                <w:szCs w:val="16"/>
                <w:lang w:val="en-GB"/>
              </w:rPr>
              <w:t>;</w:t>
            </w:r>
            <w:r w:rsidRPr="00A71FFA">
              <w:rPr>
                <w:iCs/>
                <w:color w:val="000000"/>
                <w:sz w:val="16"/>
                <w:szCs w:val="16"/>
                <w:lang w:val="en-GB"/>
              </w:rPr>
              <w:t xml:space="preserve"> Prime Minister</w:t>
            </w:r>
            <w:r w:rsidR="00515196">
              <w:rPr>
                <w:iCs/>
                <w:color w:val="000000"/>
                <w:sz w:val="16"/>
                <w:szCs w:val="16"/>
                <w:lang w:val="en-GB"/>
              </w:rPr>
              <w:t>’</w:t>
            </w:r>
            <w:r w:rsidRPr="00A71FFA">
              <w:rPr>
                <w:iCs/>
                <w:color w:val="000000"/>
                <w:sz w:val="16"/>
                <w:szCs w:val="16"/>
                <w:lang w:val="en-GB"/>
              </w:rPr>
              <w:t>s Cabinet</w:t>
            </w:r>
            <w:r w:rsidR="008227E8">
              <w:rPr>
                <w:iCs/>
                <w:color w:val="000000"/>
                <w:sz w:val="16"/>
                <w:szCs w:val="16"/>
                <w:lang w:val="en-GB"/>
              </w:rPr>
              <w:t>;</w:t>
            </w:r>
            <w:r w:rsidRPr="00A71FFA">
              <w:rPr>
                <w:iCs/>
                <w:color w:val="000000"/>
                <w:sz w:val="16"/>
                <w:szCs w:val="16"/>
                <w:lang w:val="en-GB"/>
              </w:rPr>
              <w:t xml:space="preserve"> National Council for Sustainable Development, Climate Change and Integrated Coastal Zone Management</w:t>
            </w:r>
            <w:r w:rsidR="008227E8">
              <w:rPr>
                <w:iCs/>
                <w:color w:val="000000"/>
                <w:sz w:val="16"/>
                <w:szCs w:val="16"/>
                <w:lang w:val="en-GB"/>
              </w:rPr>
              <w:t xml:space="preserve">; </w:t>
            </w:r>
            <w:r w:rsidRPr="00A71FFA">
              <w:rPr>
                <w:iCs/>
                <w:color w:val="000000"/>
                <w:sz w:val="16"/>
                <w:szCs w:val="16"/>
                <w:lang w:val="en-GB"/>
              </w:rPr>
              <w:t xml:space="preserve">media, </w:t>
            </w:r>
            <w:r w:rsidR="008227E8">
              <w:rPr>
                <w:iCs/>
                <w:color w:val="000000"/>
                <w:sz w:val="16"/>
                <w:szCs w:val="16"/>
                <w:lang w:val="en-GB"/>
              </w:rPr>
              <w:t xml:space="preserve">the </w:t>
            </w:r>
            <w:r w:rsidRPr="00A71FFA">
              <w:rPr>
                <w:iCs/>
                <w:color w:val="000000"/>
                <w:sz w:val="16"/>
                <w:szCs w:val="16"/>
                <w:lang w:val="en-GB"/>
              </w:rPr>
              <w:t>business sector and academia</w:t>
            </w:r>
          </w:p>
        </w:tc>
        <w:tc>
          <w:tcPr>
            <w:tcW w:w="831" w:type="pct"/>
            <w:gridSpan w:val="2"/>
            <w:vMerge w:val="restart"/>
            <w:tcMar>
              <w:top w:w="15" w:type="dxa"/>
              <w:left w:w="108" w:type="dxa"/>
              <w:bottom w:w="0" w:type="dxa"/>
              <w:right w:w="108" w:type="dxa"/>
            </w:tcMar>
          </w:tcPr>
          <w:p w14:paraId="266CC16D" w14:textId="36259259" w:rsidR="008A70DD" w:rsidRPr="003F2C03" w:rsidRDefault="008A70DD" w:rsidP="00F5321D">
            <w:pPr>
              <w:rPr>
                <w:b/>
                <w:color w:val="000000"/>
                <w:sz w:val="16"/>
                <w:szCs w:val="16"/>
              </w:rPr>
            </w:pPr>
            <w:r w:rsidRPr="003F2C03">
              <w:rPr>
                <w:b/>
                <w:color w:val="000000"/>
                <w:sz w:val="16"/>
                <w:szCs w:val="16"/>
              </w:rPr>
              <w:t xml:space="preserve">Regular: </w:t>
            </w:r>
          </w:p>
          <w:p w14:paraId="3DA680F7" w14:textId="371DF96F" w:rsidR="008A70DD" w:rsidRPr="003F2C03" w:rsidRDefault="008A70DD" w:rsidP="00F5321D">
            <w:pPr>
              <w:rPr>
                <w:b/>
                <w:color w:val="000000"/>
                <w:sz w:val="16"/>
                <w:szCs w:val="16"/>
              </w:rPr>
            </w:pPr>
            <w:r w:rsidRPr="003F2C03">
              <w:rPr>
                <w:b/>
                <w:color w:val="000000"/>
                <w:sz w:val="16"/>
                <w:szCs w:val="16"/>
              </w:rPr>
              <w:t>2</w:t>
            </w:r>
            <w:r w:rsidR="009D5473" w:rsidRPr="003F2C03">
              <w:rPr>
                <w:b/>
                <w:color w:val="000000"/>
                <w:sz w:val="16"/>
                <w:szCs w:val="16"/>
              </w:rPr>
              <w:t>44</w:t>
            </w:r>
            <w:r w:rsidRPr="003F2C03">
              <w:rPr>
                <w:b/>
                <w:color w:val="000000"/>
                <w:sz w:val="16"/>
                <w:szCs w:val="16"/>
              </w:rPr>
              <w:t>,000</w:t>
            </w:r>
          </w:p>
          <w:p w14:paraId="361D8929" w14:textId="77777777" w:rsidR="008A70DD" w:rsidRPr="003F2C03" w:rsidRDefault="008A70DD" w:rsidP="00F5321D">
            <w:pPr>
              <w:rPr>
                <w:b/>
                <w:color w:val="000000"/>
                <w:sz w:val="16"/>
                <w:szCs w:val="16"/>
              </w:rPr>
            </w:pPr>
          </w:p>
          <w:p w14:paraId="2623C9E1" w14:textId="77777777" w:rsidR="008A70DD" w:rsidRPr="003F2C03" w:rsidRDefault="008A70DD" w:rsidP="00F5321D">
            <w:pPr>
              <w:rPr>
                <w:b/>
                <w:color w:val="000000"/>
                <w:sz w:val="16"/>
                <w:szCs w:val="16"/>
              </w:rPr>
            </w:pPr>
            <w:r w:rsidRPr="003F2C03">
              <w:rPr>
                <w:b/>
                <w:color w:val="000000"/>
                <w:sz w:val="16"/>
                <w:szCs w:val="16"/>
              </w:rPr>
              <w:t>Other:</w:t>
            </w:r>
          </w:p>
          <w:p w14:paraId="4F3070EE" w14:textId="015E2327" w:rsidR="008A70DD" w:rsidRPr="003F2C03" w:rsidRDefault="0014549C" w:rsidP="009D5473">
            <w:pPr>
              <w:rPr>
                <w:b/>
                <w:color w:val="000000"/>
                <w:sz w:val="16"/>
                <w:szCs w:val="16"/>
              </w:rPr>
            </w:pPr>
            <w:r w:rsidRPr="003F2C03">
              <w:rPr>
                <w:b/>
                <w:color w:val="000000"/>
                <w:sz w:val="16"/>
                <w:szCs w:val="16"/>
              </w:rPr>
              <w:t>18,8</w:t>
            </w:r>
            <w:r w:rsidR="009D5473" w:rsidRPr="003F2C03">
              <w:rPr>
                <w:b/>
                <w:color w:val="000000"/>
                <w:sz w:val="16"/>
                <w:szCs w:val="16"/>
              </w:rPr>
              <w:t>06</w:t>
            </w:r>
            <w:r w:rsidR="008A70DD" w:rsidRPr="003F2C03">
              <w:rPr>
                <w:b/>
                <w:color w:val="000000"/>
                <w:sz w:val="16"/>
                <w:szCs w:val="16"/>
              </w:rPr>
              <w:t>,000</w:t>
            </w:r>
          </w:p>
        </w:tc>
      </w:tr>
      <w:tr w:rsidR="008A70DD" w:rsidRPr="003F2C03" w14:paraId="566D6861" w14:textId="77777777" w:rsidTr="005F172E">
        <w:tc>
          <w:tcPr>
            <w:tcW w:w="1135" w:type="pct"/>
            <w:tcMar>
              <w:top w:w="72" w:type="dxa"/>
              <w:left w:w="144" w:type="dxa"/>
              <w:bottom w:w="72" w:type="dxa"/>
              <w:right w:w="144" w:type="dxa"/>
            </w:tcMar>
            <w:vAlign w:val="center"/>
          </w:tcPr>
          <w:p w14:paraId="0D7420E2" w14:textId="14988817" w:rsidR="008A70DD" w:rsidRPr="00AA7688" w:rsidRDefault="008A70DD" w:rsidP="00F5321D">
            <w:pPr>
              <w:rPr>
                <w:sz w:val="16"/>
                <w:szCs w:val="16"/>
              </w:rPr>
            </w:pPr>
            <w:r w:rsidRPr="003F2C03">
              <w:rPr>
                <w:b/>
                <w:sz w:val="16"/>
                <w:szCs w:val="16"/>
                <w:lang w:eastAsia="uz-Cyrl-UZ"/>
              </w:rPr>
              <w:t xml:space="preserve">Indicator 2: </w:t>
            </w:r>
            <w:r w:rsidR="00063595" w:rsidRPr="00C601A1">
              <w:rPr>
                <w:b/>
                <w:sz w:val="16"/>
                <w:szCs w:val="16"/>
              </w:rPr>
              <w:t xml:space="preserve">Percentage </w:t>
            </w:r>
            <w:r w:rsidRPr="00C601A1">
              <w:rPr>
                <w:b/>
                <w:sz w:val="16"/>
                <w:szCs w:val="16"/>
              </w:rPr>
              <w:t>decrease in annual emissions of  greenhouse</w:t>
            </w:r>
            <w:r w:rsidR="00E445CA" w:rsidRPr="00C601A1">
              <w:rPr>
                <w:b/>
                <w:sz w:val="16"/>
                <w:szCs w:val="16"/>
              </w:rPr>
              <w:t xml:space="preserve"> </w:t>
            </w:r>
            <w:r w:rsidRPr="00C601A1">
              <w:rPr>
                <w:b/>
                <w:sz w:val="16"/>
                <w:szCs w:val="16"/>
              </w:rPr>
              <w:t>gases</w:t>
            </w:r>
          </w:p>
          <w:p w14:paraId="3B1E303B" w14:textId="77777777" w:rsidR="008A70DD" w:rsidRPr="003F2C03" w:rsidRDefault="008A70DD" w:rsidP="00F5321D">
            <w:pPr>
              <w:rPr>
                <w:sz w:val="16"/>
                <w:szCs w:val="16"/>
                <w:u w:val="single"/>
              </w:rPr>
            </w:pPr>
          </w:p>
          <w:p w14:paraId="102D0EC5" w14:textId="3AA98824" w:rsidR="008A70DD" w:rsidRPr="003F2C03" w:rsidRDefault="008A70DD" w:rsidP="00F5321D">
            <w:pPr>
              <w:rPr>
                <w:sz w:val="16"/>
                <w:szCs w:val="16"/>
              </w:rPr>
            </w:pPr>
            <w:r w:rsidRPr="00AA7688">
              <w:rPr>
                <w:b/>
                <w:sz w:val="16"/>
                <w:szCs w:val="16"/>
              </w:rPr>
              <w:t>Baseline</w:t>
            </w:r>
            <w:r w:rsidR="00063595" w:rsidRPr="00AA7688">
              <w:rPr>
                <w:b/>
                <w:sz w:val="16"/>
                <w:szCs w:val="16"/>
              </w:rPr>
              <w:t xml:space="preserve"> (1990)</w:t>
            </w:r>
            <w:r w:rsidRPr="00AA7688">
              <w:rPr>
                <w:b/>
                <w:sz w:val="16"/>
                <w:szCs w:val="16"/>
              </w:rPr>
              <w:t>:</w:t>
            </w:r>
            <w:r w:rsidRPr="00AA7688">
              <w:rPr>
                <w:sz w:val="16"/>
                <w:szCs w:val="16"/>
              </w:rPr>
              <w:t xml:space="preserve"> </w:t>
            </w:r>
            <w:r w:rsidRPr="003F2C03">
              <w:rPr>
                <w:sz w:val="16"/>
                <w:szCs w:val="16"/>
              </w:rPr>
              <w:t>5</w:t>
            </w:r>
            <w:r w:rsidR="00893942">
              <w:rPr>
                <w:sz w:val="16"/>
                <w:szCs w:val="16"/>
              </w:rPr>
              <w:t>,</w:t>
            </w:r>
            <w:r w:rsidRPr="003F2C03">
              <w:rPr>
                <w:sz w:val="16"/>
                <w:szCs w:val="16"/>
              </w:rPr>
              <w:t xml:space="preserve">239 kilotons </w:t>
            </w:r>
          </w:p>
          <w:p w14:paraId="2B9C4C0C" w14:textId="542132B8" w:rsidR="008A70DD" w:rsidRPr="003F2C03" w:rsidRDefault="008A70DD" w:rsidP="00F5321D">
            <w:pPr>
              <w:rPr>
                <w:i/>
                <w:iCs/>
                <w:color w:val="000000"/>
                <w:sz w:val="16"/>
                <w:szCs w:val="16"/>
                <w:lang w:val="en-GB"/>
              </w:rPr>
            </w:pPr>
            <w:r w:rsidRPr="00AA7688">
              <w:rPr>
                <w:b/>
                <w:sz w:val="16"/>
                <w:szCs w:val="16"/>
              </w:rPr>
              <w:t>Target</w:t>
            </w:r>
            <w:r w:rsidR="00063595" w:rsidRPr="00AA7688">
              <w:rPr>
                <w:b/>
                <w:sz w:val="16"/>
                <w:szCs w:val="16"/>
              </w:rPr>
              <w:t xml:space="preserve"> (2021)</w:t>
            </w:r>
            <w:r w:rsidRPr="00AA7688">
              <w:rPr>
                <w:b/>
                <w:sz w:val="16"/>
                <w:szCs w:val="16"/>
              </w:rPr>
              <w:t>:</w:t>
            </w:r>
            <w:r w:rsidRPr="00AA7688">
              <w:rPr>
                <w:sz w:val="16"/>
                <w:szCs w:val="16"/>
              </w:rPr>
              <w:t xml:space="preserve"> </w:t>
            </w:r>
            <w:r w:rsidR="00893942">
              <w:rPr>
                <w:sz w:val="16"/>
                <w:szCs w:val="16"/>
              </w:rPr>
              <w:t>D</w:t>
            </w:r>
            <w:r w:rsidR="00063595" w:rsidRPr="00E60EDA">
              <w:rPr>
                <w:sz w:val="16"/>
                <w:szCs w:val="16"/>
              </w:rPr>
              <w:t>ecrease by minimum of 10% (4,715 kil</w:t>
            </w:r>
            <w:r w:rsidR="00063595" w:rsidRPr="003F2C03">
              <w:rPr>
                <w:sz w:val="16"/>
                <w:szCs w:val="16"/>
              </w:rPr>
              <w:t>otons</w:t>
            </w:r>
            <w:r w:rsidRPr="003F2C03">
              <w:rPr>
                <w:sz w:val="16"/>
                <w:szCs w:val="16"/>
              </w:rPr>
              <w:t>)</w:t>
            </w:r>
          </w:p>
          <w:p w14:paraId="261E2FD8" w14:textId="77777777" w:rsidR="008A70DD" w:rsidRPr="003F2C03" w:rsidRDefault="008A70DD" w:rsidP="00F5321D">
            <w:pPr>
              <w:rPr>
                <w:i/>
                <w:iCs/>
                <w:color w:val="000000"/>
                <w:sz w:val="16"/>
                <w:szCs w:val="16"/>
                <w:lang w:val="en-GB"/>
              </w:rPr>
            </w:pPr>
          </w:p>
        </w:tc>
        <w:tc>
          <w:tcPr>
            <w:tcW w:w="705" w:type="pct"/>
            <w:shd w:val="clear" w:color="auto" w:fill="auto"/>
            <w:vAlign w:val="center"/>
          </w:tcPr>
          <w:p w14:paraId="741FD6B4" w14:textId="56B60ACC" w:rsidR="008A70DD" w:rsidRPr="003F2C03" w:rsidRDefault="008A70DD" w:rsidP="00832824">
            <w:pPr>
              <w:rPr>
                <w:i/>
                <w:iCs/>
                <w:color w:val="000000"/>
                <w:sz w:val="16"/>
                <w:szCs w:val="16"/>
                <w:lang w:val="en-GB"/>
              </w:rPr>
            </w:pPr>
            <w:r w:rsidRPr="003F2C03">
              <w:rPr>
                <w:sz w:val="16"/>
                <w:szCs w:val="16"/>
                <w:lang w:eastAsia="uz-Cyrl-UZ"/>
              </w:rPr>
              <w:t>National Communication Report to U</w:t>
            </w:r>
            <w:r w:rsidR="00832824">
              <w:rPr>
                <w:sz w:val="16"/>
                <w:szCs w:val="16"/>
                <w:lang w:eastAsia="uz-Cyrl-UZ"/>
              </w:rPr>
              <w:t xml:space="preserve">nited Nations Framework Convention on Climate Change, </w:t>
            </w:r>
            <w:r w:rsidRPr="003F2C03">
              <w:rPr>
                <w:sz w:val="16"/>
                <w:szCs w:val="16"/>
                <w:lang w:eastAsia="uz-Cyrl-UZ"/>
              </w:rPr>
              <w:t xml:space="preserve">UNDP, Statistics Institute </w:t>
            </w:r>
          </w:p>
        </w:tc>
        <w:tc>
          <w:tcPr>
            <w:tcW w:w="1624" w:type="pct"/>
            <w:tcMar>
              <w:top w:w="72" w:type="dxa"/>
              <w:left w:w="144" w:type="dxa"/>
              <w:bottom w:w="72" w:type="dxa"/>
              <w:right w:w="144" w:type="dxa"/>
            </w:tcMar>
          </w:tcPr>
          <w:p w14:paraId="047C9CEC" w14:textId="20C91897" w:rsidR="008A70DD" w:rsidRPr="003F2C03" w:rsidRDefault="008A70DD" w:rsidP="00F5321D">
            <w:pPr>
              <w:rPr>
                <w:iCs/>
                <w:color w:val="000000"/>
                <w:sz w:val="16"/>
                <w:szCs w:val="16"/>
                <w:lang w:val="en-GB"/>
              </w:rPr>
            </w:pPr>
            <w:r w:rsidRPr="003F2C03">
              <w:rPr>
                <w:b/>
                <w:iCs/>
                <w:color w:val="000000"/>
                <w:sz w:val="16"/>
                <w:szCs w:val="16"/>
                <w:lang w:val="en-GB"/>
              </w:rPr>
              <w:t>Output 2.2:</w:t>
            </w:r>
            <w:r w:rsidRPr="003F2C03">
              <w:rPr>
                <w:iCs/>
                <w:color w:val="000000"/>
                <w:sz w:val="16"/>
                <w:szCs w:val="16"/>
                <w:lang w:val="en-GB"/>
              </w:rPr>
              <w:t xml:space="preserve"> Annual emissions of carbon dioxide decreased in tourism sector</w:t>
            </w:r>
          </w:p>
          <w:p w14:paraId="07CB8A04" w14:textId="77777777" w:rsidR="008A70DD" w:rsidRPr="003F2C03" w:rsidRDefault="008A70DD" w:rsidP="00F5321D">
            <w:pPr>
              <w:rPr>
                <w:iCs/>
                <w:color w:val="000000"/>
                <w:sz w:val="16"/>
                <w:szCs w:val="16"/>
                <w:lang w:val="en-GB"/>
              </w:rPr>
            </w:pPr>
            <w:r w:rsidRPr="003F2C03">
              <w:rPr>
                <w:b/>
                <w:iCs/>
                <w:color w:val="000000"/>
                <w:sz w:val="16"/>
                <w:szCs w:val="16"/>
                <w:lang w:val="en-GB"/>
              </w:rPr>
              <w:t>Indicator 2.2.1</w:t>
            </w:r>
            <w:r w:rsidRPr="003F2C03">
              <w:rPr>
                <w:iCs/>
                <w:color w:val="000000"/>
                <w:sz w:val="16"/>
                <w:szCs w:val="16"/>
                <w:lang w:val="en-GB"/>
              </w:rPr>
              <w:t>: Emissions from tourism sector do not exceed 2013 threshold.</w:t>
            </w:r>
          </w:p>
          <w:p w14:paraId="267A7347" w14:textId="5DC12295" w:rsidR="008A70DD" w:rsidRPr="003F2C03" w:rsidRDefault="008A70DD" w:rsidP="00F5321D">
            <w:pPr>
              <w:rPr>
                <w:b/>
                <w:iCs/>
                <w:color w:val="000000"/>
                <w:sz w:val="16"/>
                <w:szCs w:val="16"/>
                <w:lang w:val="en-GB"/>
              </w:rPr>
            </w:pPr>
            <w:r w:rsidRPr="003F2C03">
              <w:rPr>
                <w:b/>
                <w:iCs/>
                <w:color w:val="000000"/>
                <w:sz w:val="16"/>
                <w:szCs w:val="16"/>
                <w:lang w:val="en-GB"/>
              </w:rPr>
              <w:t>Baseline</w:t>
            </w:r>
            <w:r w:rsidR="00515196">
              <w:rPr>
                <w:b/>
                <w:iCs/>
                <w:color w:val="000000"/>
                <w:sz w:val="16"/>
                <w:szCs w:val="16"/>
                <w:lang w:val="en-GB"/>
              </w:rPr>
              <w:t xml:space="preserve"> </w:t>
            </w:r>
            <w:r w:rsidR="00515196" w:rsidRPr="00AA7688">
              <w:rPr>
                <w:iCs/>
                <w:color w:val="000000"/>
                <w:sz w:val="16"/>
                <w:szCs w:val="16"/>
                <w:lang w:val="en-GB"/>
              </w:rPr>
              <w:t>(2013)</w:t>
            </w:r>
            <w:r w:rsidRPr="00AA7688">
              <w:rPr>
                <w:iCs/>
                <w:color w:val="000000"/>
                <w:sz w:val="16"/>
                <w:szCs w:val="16"/>
                <w:lang w:val="en-GB"/>
              </w:rPr>
              <w:t>:</w:t>
            </w:r>
            <w:r w:rsidRPr="003F2C03">
              <w:rPr>
                <w:b/>
                <w:iCs/>
                <w:color w:val="000000"/>
                <w:sz w:val="16"/>
                <w:szCs w:val="16"/>
                <w:lang w:val="en-GB"/>
              </w:rPr>
              <w:t xml:space="preserve"> </w:t>
            </w:r>
            <w:r w:rsidRPr="003F2C03">
              <w:rPr>
                <w:iCs/>
                <w:color w:val="000000"/>
                <w:sz w:val="16"/>
                <w:szCs w:val="16"/>
                <w:lang w:val="en-GB"/>
              </w:rPr>
              <w:t xml:space="preserve">70ktCO2eq </w:t>
            </w:r>
          </w:p>
          <w:p w14:paraId="42A52AA2" w14:textId="5558A424" w:rsidR="008A70DD" w:rsidRPr="003F2C03" w:rsidRDefault="008A70DD" w:rsidP="00F5321D">
            <w:pPr>
              <w:rPr>
                <w:b/>
                <w:iCs/>
                <w:color w:val="000000"/>
                <w:sz w:val="16"/>
                <w:szCs w:val="16"/>
                <w:lang w:val="en-GB"/>
              </w:rPr>
            </w:pPr>
            <w:r w:rsidRPr="003F2C03">
              <w:rPr>
                <w:b/>
                <w:iCs/>
                <w:color w:val="000000"/>
                <w:sz w:val="16"/>
                <w:szCs w:val="16"/>
                <w:lang w:val="en-GB"/>
              </w:rPr>
              <w:t>Target</w:t>
            </w:r>
            <w:r w:rsidR="00515196">
              <w:rPr>
                <w:b/>
                <w:iCs/>
                <w:color w:val="000000"/>
                <w:sz w:val="16"/>
                <w:szCs w:val="16"/>
                <w:lang w:val="en-GB"/>
              </w:rPr>
              <w:t xml:space="preserve"> </w:t>
            </w:r>
            <w:r w:rsidR="00515196" w:rsidRPr="00AA7688">
              <w:rPr>
                <w:iCs/>
                <w:color w:val="000000"/>
                <w:sz w:val="16"/>
                <w:szCs w:val="16"/>
                <w:lang w:val="en-GB"/>
              </w:rPr>
              <w:t>(2018)</w:t>
            </w:r>
            <w:r w:rsidRPr="00AA7688">
              <w:rPr>
                <w:iCs/>
                <w:color w:val="000000"/>
                <w:sz w:val="16"/>
                <w:szCs w:val="16"/>
                <w:lang w:val="en-GB"/>
              </w:rPr>
              <w:t>:</w:t>
            </w:r>
            <w:r w:rsidRPr="003F2C03">
              <w:rPr>
                <w:b/>
                <w:iCs/>
                <w:color w:val="000000"/>
                <w:sz w:val="16"/>
                <w:szCs w:val="16"/>
                <w:lang w:val="en-GB"/>
              </w:rPr>
              <w:t xml:space="preserve"> </w:t>
            </w:r>
            <w:r w:rsidR="00C80614" w:rsidRPr="003F2C03">
              <w:rPr>
                <w:b/>
                <w:iCs/>
                <w:color w:val="000000"/>
                <w:sz w:val="16"/>
                <w:szCs w:val="16"/>
                <w:lang w:val="en-GB"/>
              </w:rPr>
              <w:t xml:space="preserve">&lt; </w:t>
            </w:r>
            <w:r w:rsidRPr="003F2C03">
              <w:rPr>
                <w:iCs/>
                <w:color w:val="000000"/>
                <w:sz w:val="16"/>
                <w:szCs w:val="16"/>
                <w:lang w:val="en-GB"/>
              </w:rPr>
              <w:t xml:space="preserve">70 ktCO2eq </w:t>
            </w:r>
            <w:r w:rsidRPr="003F2C03">
              <w:rPr>
                <w:b/>
                <w:iCs/>
                <w:color w:val="000000"/>
                <w:sz w:val="16"/>
                <w:szCs w:val="16"/>
                <w:lang w:val="en-GB"/>
              </w:rPr>
              <w:t xml:space="preserve">  </w:t>
            </w:r>
          </w:p>
          <w:p w14:paraId="55615966" w14:textId="77777777" w:rsidR="008A70DD" w:rsidRPr="003F2C03" w:rsidRDefault="008A70DD" w:rsidP="00F5321D">
            <w:pPr>
              <w:rPr>
                <w:iCs/>
                <w:color w:val="000000"/>
                <w:sz w:val="16"/>
                <w:szCs w:val="16"/>
                <w:lang w:val="en-GB"/>
              </w:rPr>
            </w:pPr>
          </w:p>
          <w:p w14:paraId="12AF8203" w14:textId="31BEB9A8" w:rsidR="008A70DD" w:rsidRPr="003F2C03" w:rsidRDefault="008A70DD" w:rsidP="00F5321D">
            <w:pPr>
              <w:rPr>
                <w:iCs/>
                <w:color w:val="000000"/>
                <w:sz w:val="16"/>
                <w:szCs w:val="16"/>
                <w:lang w:val="en-GB"/>
              </w:rPr>
            </w:pPr>
            <w:r w:rsidRPr="003F2C03">
              <w:rPr>
                <w:b/>
                <w:iCs/>
                <w:color w:val="000000"/>
                <w:sz w:val="16"/>
                <w:szCs w:val="16"/>
                <w:lang w:val="en-GB"/>
              </w:rPr>
              <w:t>Indicator 2.2</w:t>
            </w:r>
            <w:r w:rsidRPr="003F2C03">
              <w:rPr>
                <w:iCs/>
                <w:color w:val="000000"/>
                <w:sz w:val="16"/>
                <w:szCs w:val="16"/>
                <w:lang w:val="en-GB"/>
              </w:rPr>
              <w:t>.</w:t>
            </w:r>
            <w:r w:rsidRPr="003F2C03">
              <w:rPr>
                <w:b/>
                <w:iCs/>
                <w:color w:val="000000"/>
                <w:sz w:val="16"/>
                <w:szCs w:val="16"/>
                <w:lang w:val="en-GB"/>
              </w:rPr>
              <w:t>2</w:t>
            </w:r>
            <w:r w:rsidRPr="003F2C03">
              <w:rPr>
                <w:iCs/>
                <w:color w:val="000000"/>
                <w:sz w:val="16"/>
                <w:szCs w:val="16"/>
                <w:lang w:val="en-GB"/>
              </w:rPr>
              <w:t xml:space="preserve">: Number of public spaces and buildings </w:t>
            </w:r>
            <w:r w:rsidR="00515196">
              <w:rPr>
                <w:iCs/>
                <w:color w:val="000000"/>
                <w:sz w:val="16"/>
                <w:szCs w:val="16"/>
                <w:lang w:val="en-GB"/>
              </w:rPr>
              <w:t xml:space="preserve">with </w:t>
            </w:r>
            <w:r w:rsidRPr="003F2C03">
              <w:rPr>
                <w:iCs/>
                <w:color w:val="000000"/>
                <w:sz w:val="16"/>
                <w:szCs w:val="16"/>
                <w:lang w:val="en-GB"/>
              </w:rPr>
              <w:t>improved level of energy efficiency in target municipalities</w:t>
            </w:r>
          </w:p>
          <w:p w14:paraId="721B6C67" w14:textId="449DD624" w:rsidR="008A70DD" w:rsidRPr="003F2C03" w:rsidRDefault="008A70DD" w:rsidP="00F5321D">
            <w:pPr>
              <w:rPr>
                <w:b/>
                <w:iCs/>
                <w:color w:val="000000"/>
                <w:sz w:val="16"/>
                <w:szCs w:val="16"/>
                <w:lang w:val="en-GB"/>
              </w:rPr>
            </w:pPr>
            <w:r w:rsidRPr="003F2C03">
              <w:rPr>
                <w:b/>
                <w:iCs/>
                <w:color w:val="000000"/>
                <w:sz w:val="16"/>
                <w:szCs w:val="16"/>
                <w:lang w:val="en-GB"/>
              </w:rPr>
              <w:t>Baseline</w:t>
            </w:r>
            <w:r w:rsidR="00515196">
              <w:rPr>
                <w:b/>
                <w:iCs/>
                <w:color w:val="000000"/>
                <w:sz w:val="16"/>
                <w:szCs w:val="16"/>
                <w:lang w:val="en-GB"/>
              </w:rPr>
              <w:t xml:space="preserve"> </w:t>
            </w:r>
            <w:r w:rsidR="00515196" w:rsidRPr="00AA7688">
              <w:rPr>
                <w:iCs/>
                <w:color w:val="000000"/>
                <w:sz w:val="16"/>
                <w:szCs w:val="16"/>
                <w:lang w:val="en-GB"/>
              </w:rPr>
              <w:t>(2015)</w:t>
            </w:r>
            <w:r w:rsidRPr="00AA7688">
              <w:rPr>
                <w:iCs/>
                <w:color w:val="000000"/>
                <w:sz w:val="16"/>
                <w:szCs w:val="16"/>
                <w:lang w:val="en-GB"/>
              </w:rPr>
              <w:t>:</w:t>
            </w:r>
            <w:r w:rsidRPr="003F2C03">
              <w:rPr>
                <w:b/>
                <w:iCs/>
                <w:color w:val="000000"/>
                <w:sz w:val="16"/>
                <w:szCs w:val="16"/>
                <w:lang w:val="en-GB"/>
              </w:rPr>
              <w:t xml:space="preserve"> </w:t>
            </w:r>
            <w:r w:rsidRPr="003F2C03">
              <w:rPr>
                <w:iCs/>
                <w:color w:val="000000"/>
                <w:sz w:val="16"/>
                <w:szCs w:val="16"/>
                <w:lang w:val="en-GB"/>
              </w:rPr>
              <w:t>4 public spaces</w:t>
            </w:r>
            <w:r w:rsidR="00515196">
              <w:rPr>
                <w:iCs/>
                <w:color w:val="000000"/>
                <w:sz w:val="16"/>
                <w:szCs w:val="16"/>
                <w:lang w:val="en-GB"/>
              </w:rPr>
              <w:t xml:space="preserve"> </w:t>
            </w:r>
            <w:r w:rsidRPr="003F2C03">
              <w:rPr>
                <w:iCs/>
                <w:color w:val="000000"/>
                <w:sz w:val="16"/>
                <w:szCs w:val="16"/>
                <w:lang w:val="en-GB"/>
              </w:rPr>
              <w:t>/</w:t>
            </w:r>
            <w:r w:rsidR="00515196">
              <w:rPr>
                <w:iCs/>
                <w:color w:val="000000"/>
                <w:sz w:val="16"/>
                <w:szCs w:val="16"/>
                <w:lang w:val="en-GB"/>
              </w:rPr>
              <w:t xml:space="preserve"> </w:t>
            </w:r>
            <w:r w:rsidRPr="003F2C03">
              <w:rPr>
                <w:iCs/>
                <w:color w:val="000000"/>
                <w:sz w:val="16"/>
                <w:szCs w:val="16"/>
                <w:lang w:val="en-GB"/>
              </w:rPr>
              <w:t xml:space="preserve">3 buildings </w:t>
            </w:r>
          </w:p>
          <w:p w14:paraId="4C5E7CC0" w14:textId="349F6FAF" w:rsidR="008A70DD" w:rsidRPr="003F2C03" w:rsidRDefault="008A70DD" w:rsidP="00F5321D">
            <w:pPr>
              <w:rPr>
                <w:b/>
                <w:iCs/>
                <w:color w:val="000000"/>
                <w:sz w:val="16"/>
                <w:szCs w:val="16"/>
                <w:lang w:val="en-GB"/>
              </w:rPr>
            </w:pPr>
            <w:r w:rsidRPr="003F2C03">
              <w:rPr>
                <w:b/>
                <w:iCs/>
                <w:color w:val="000000"/>
                <w:sz w:val="16"/>
                <w:szCs w:val="16"/>
                <w:lang w:val="en-GB"/>
              </w:rPr>
              <w:lastRenderedPageBreak/>
              <w:t>Target</w:t>
            </w:r>
            <w:r w:rsidR="00515196">
              <w:rPr>
                <w:b/>
                <w:iCs/>
                <w:color w:val="000000"/>
                <w:sz w:val="16"/>
                <w:szCs w:val="16"/>
                <w:lang w:val="en-GB"/>
              </w:rPr>
              <w:t xml:space="preserve"> </w:t>
            </w:r>
            <w:r w:rsidR="00515196" w:rsidRPr="00AA7688">
              <w:rPr>
                <w:iCs/>
                <w:color w:val="000000"/>
                <w:sz w:val="16"/>
                <w:szCs w:val="16"/>
                <w:lang w:val="en-GB"/>
              </w:rPr>
              <w:t>(2021)</w:t>
            </w:r>
            <w:r w:rsidRPr="00AA7688">
              <w:rPr>
                <w:iCs/>
                <w:color w:val="000000"/>
                <w:sz w:val="16"/>
                <w:szCs w:val="16"/>
                <w:lang w:val="en-GB"/>
              </w:rPr>
              <w:t>:</w:t>
            </w:r>
            <w:r w:rsidRPr="003F2C03">
              <w:rPr>
                <w:b/>
                <w:iCs/>
                <w:color w:val="000000"/>
                <w:sz w:val="16"/>
                <w:szCs w:val="16"/>
                <w:lang w:val="en-GB"/>
              </w:rPr>
              <w:t xml:space="preserve"> </w:t>
            </w:r>
            <w:r w:rsidRPr="003F2C03">
              <w:rPr>
                <w:iCs/>
                <w:color w:val="000000"/>
                <w:sz w:val="16"/>
                <w:szCs w:val="16"/>
                <w:lang w:val="en-GB"/>
              </w:rPr>
              <w:t>10</w:t>
            </w:r>
            <w:r w:rsidR="00515196">
              <w:rPr>
                <w:iCs/>
                <w:color w:val="000000"/>
                <w:sz w:val="16"/>
                <w:szCs w:val="16"/>
                <w:lang w:val="en-GB"/>
              </w:rPr>
              <w:t xml:space="preserve"> public spaces </w:t>
            </w:r>
            <w:r w:rsidRPr="003F2C03">
              <w:rPr>
                <w:iCs/>
                <w:color w:val="000000"/>
                <w:sz w:val="16"/>
                <w:szCs w:val="16"/>
                <w:lang w:val="en-GB"/>
              </w:rPr>
              <w:t>/</w:t>
            </w:r>
            <w:r w:rsidR="00515196">
              <w:rPr>
                <w:iCs/>
                <w:color w:val="000000"/>
                <w:sz w:val="16"/>
                <w:szCs w:val="16"/>
                <w:lang w:val="en-GB"/>
              </w:rPr>
              <w:t xml:space="preserve"> </w:t>
            </w:r>
            <w:r w:rsidRPr="003F2C03">
              <w:rPr>
                <w:iCs/>
                <w:color w:val="000000"/>
                <w:sz w:val="16"/>
                <w:szCs w:val="16"/>
                <w:lang w:val="en-GB"/>
              </w:rPr>
              <w:t>5</w:t>
            </w:r>
            <w:r w:rsidR="00515196">
              <w:rPr>
                <w:iCs/>
                <w:color w:val="000000"/>
                <w:sz w:val="16"/>
                <w:szCs w:val="16"/>
                <w:lang w:val="en-GB"/>
              </w:rPr>
              <w:t xml:space="preserve"> buildings</w:t>
            </w:r>
            <w:r w:rsidRPr="003F2C03">
              <w:rPr>
                <w:iCs/>
                <w:color w:val="000000"/>
                <w:sz w:val="16"/>
                <w:szCs w:val="16"/>
                <w:lang w:val="en-GB"/>
              </w:rPr>
              <w:t xml:space="preserve"> </w:t>
            </w:r>
            <w:r w:rsidRPr="003F2C03">
              <w:rPr>
                <w:b/>
                <w:iCs/>
                <w:color w:val="000000"/>
                <w:sz w:val="16"/>
                <w:szCs w:val="16"/>
                <w:lang w:val="en-GB"/>
              </w:rPr>
              <w:t xml:space="preserve"> </w:t>
            </w:r>
          </w:p>
          <w:p w14:paraId="2E4D6310" w14:textId="77777777" w:rsidR="008A70DD" w:rsidRPr="003F2C03" w:rsidRDefault="008A70DD" w:rsidP="00021DE0">
            <w:pPr>
              <w:rPr>
                <w:iCs/>
                <w:sz w:val="16"/>
                <w:szCs w:val="16"/>
                <w:lang w:val="en-GB"/>
              </w:rPr>
            </w:pPr>
            <w:r w:rsidRPr="003F2C03">
              <w:rPr>
                <w:b/>
                <w:iCs/>
                <w:sz w:val="16"/>
                <w:szCs w:val="16"/>
                <w:lang w:val="en-GB"/>
              </w:rPr>
              <w:t xml:space="preserve">Means of verification: </w:t>
            </w:r>
            <w:r w:rsidRPr="003F2C03">
              <w:rPr>
                <w:iCs/>
                <w:sz w:val="16"/>
                <w:szCs w:val="16"/>
                <w:lang w:val="en-GB"/>
              </w:rPr>
              <w:t>National report (Government)</w:t>
            </w:r>
          </w:p>
          <w:p w14:paraId="211A97EB" w14:textId="6B5E25E4" w:rsidR="002C2321" w:rsidRPr="003F2C03" w:rsidRDefault="002C2321" w:rsidP="00021DE0">
            <w:pPr>
              <w:rPr>
                <w:b/>
                <w:iCs/>
                <w:color w:val="000000"/>
                <w:sz w:val="16"/>
                <w:szCs w:val="16"/>
                <w:lang w:val="en-GB"/>
              </w:rPr>
            </w:pPr>
          </w:p>
        </w:tc>
        <w:tc>
          <w:tcPr>
            <w:tcW w:w="705" w:type="pct"/>
            <w:gridSpan w:val="2"/>
          </w:tcPr>
          <w:p w14:paraId="1442C673" w14:textId="40C1B429" w:rsidR="008A70DD" w:rsidRPr="00A71FFA" w:rsidRDefault="008A70DD" w:rsidP="008227E8">
            <w:pPr>
              <w:rPr>
                <w:iCs/>
                <w:color w:val="000000"/>
                <w:sz w:val="16"/>
                <w:szCs w:val="16"/>
                <w:lang w:val="en-GB"/>
              </w:rPr>
            </w:pPr>
            <w:r w:rsidRPr="00A71FFA">
              <w:rPr>
                <w:iCs/>
                <w:color w:val="000000"/>
                <w:sz w:val="16"/>
                <w:szCs w:val="16"/>
                <w:lang w:val="en-GB"/>
              </w:rPr>
              <w:lastRenderedPageBreak/>
              <w:t>Universit</w:t>
            </w:r>
            <w:r w:rsidR="00B827FA">
              <w:rPr>
                <w:iCs/>
                <w:color w:val="000000"/>
                <w:sz w:val="16"/>
                <w:szCs w:val="16"/>
                <w:lang w:val="en-GB"/>
              </w:rPr>
              <w:t xml:space="preserve">ies </w:t>
            </w:r>
            <w:r w:rsidRPr="00A71FFA">
              <w:rPr>
                <w:iCs/>
                <w:color w:val="000000"/>
                <w:sz w:val="16"/>
                <w:szCs w:val="16"/>
                <w:lang w:val="en-GB"/>
              </w:rPr>
              <w:t>and the Academ</w:t>
            </w:r>
            <w:r w:rsidR="00515196">
              <w:rPr>
                <w:iCs/>
                <w:color w:val="000000"/>
                <w:sz w:val="16"/>
                <w:szCs w:val="16"/>
                <w:lang w:val="en-GB"/>
              </w:rPr>
              <w:t>y</w:t>
            </w:r>
            <w:r w:rsidRPr="00A71FFA">
              <w:rPr>
                <w:iCs/>
                <w:color w:val="000000"/>
                <w:sz w:val="16"/>
                <w:szCs w:val="16"/>
                <w:lang w:val="en-GB"/>
              </w:rPr>
              <w:t xml:space="preserve"> of </w:t>
            </w:r>
            <w:r w:rsidR="00515196">
              <w:rPr>
                <w:iCs/>
                <w:color w:val="000000"/>
                <w:sz w:val="16"/>
                <w:szCs w:val="16"/>
                <w:lang w:val="en-GB"/>
              </w:rPr>
              <w:t>S</w:t>
            </w:r>
            <w:r w:rsidRPr="00A71FFA">
              <w:rPr>
                <w:iCs/>
                <w:color w:val="000000"/>
                <w:sz w:val="16"/>
                <w:szCs w:val="16"/>
                <w:lang w:val="en-GB"/>
              </w:rPr>
              <w:t>cience</w:t>
            </w:r>
            <w:r w:rsidR="008227E8">
              <w:rPr>
                <w:iCs/>
                <w:color w:val="000000"/>
                <w:sz w:val="16"/>
                <w:szCs w:val="16"/>
                <w:lang w:val="en-GB"/>
              </w:rPr>
              <w:t>;</w:t>
            </w:r>
            <w:r w:rsidRPr="00A71FFA">
              <w:rPr>
                <w:iCs/>
                <w:color w:val="000000"/>
                <w:sz w:val="16"/>
                <w:szCs w:val="16"/>
                <w:lang w:val="en-GB"/>
              </w:rPr>
              <w:t xml:space="preserve"> NGOs</w:t>
            </w:r>
            <w:r w:rsidR="008227E8">
              <w:rPr>
                <w:iCs/>
                <w:color w:val="000000"/>
                <w:sz w:val="16"/>
                <w:szCs w:val="16"/>
                <w:lang w:val="en-GB"/>
              </w:rPr>
              <w:t>;</w:t>
            </w:r>
            <w:r w:rsidRPr="00A71FFA">
              <w:rPr>
                <w:iCs/>
                <w:color w:val="000000"/>
                <w:sz w:val="16"/>
                <w:szCs w:val="16"/>
                <w:lang w:val="en-GB"/>
              </w:rPr>
              <w:t xml:space="preserve"> M</w:t>
            </w:r>
            <w:r w:rsidR="004B4840">
              <w:rPr>
                <w:iCs/>
                <w:color w:val="000000"/>
                <w:sz w:val="16"/>
                <w:szCs w:val="16"/>
                <w:lang w:val="en-GB"/>
              </w:rPr>
              <w:t>inistries of  Economy, Finance and Sustainable Development</w:t>
            </w:r>
            <w:r w:rsidR="008227E8">
              <w:rPr>
                <w:iCs/>
                <w:color w:val="000000"/>
                <w:sz w:val="16"/>
                <w:szCs w:val="16"/>
                <w:lang w:val="en-GB"/>
              </w:rPr>
              <w:t>;</w:t>
            </w:r>
            <w:r w:rsidR="004B4840">
              <w:rPr>
                <w:iCs/>
                <w:color w:val="000000"/>
                <w:sz w:val="16"/>
                <w:szCs w:val="16"/>
                <w:lang w:val="en-GB"/>
              </w:rPr>
              <w:t xml:space="preserve"> </w:t>
            </w:r>
            <w:r w:rsidRPr="00A71FFA">
              <w:rPr>
                <w:iCs/>
                <w:color w:val="000000"/>
                <w:sz w:val="16"/>
                <w:szCs w:val="16"/>
                <w:lang w:val="en-GB"/>
              </w:rPr>
              <w:t>N</w:t>
            </w:r>
            <w:r w:rsidR="004B4840">
              <w:rPr>
                <w:iCs/>
                <w:color w:val="000000"/>
                <w:sz w:val="16"/>
                <w:szCs w:val="16"/>
                <w:lang w:val="en-GB"/>
              </w:rPr>
              <w:t>ational Tourist Organization</w:t>
            </w:r>
            <w:r w:rsidR="008227E8">
              <w:rPr>
                <w:iCs/>
                <w:color w:val="000000"/>
                <w:sz w:val="16"/>
                <w:szCs w:val="16"/>
                <w:lang w:val="en-GB"/>
              </w:rPr>
              <w:t>;</w:t>
            </w:r>
            <w:r w:rsidRPr="00A71FFA">
              <w:rPr>
                <w:iCs/>
                <w:color w:val="000000"/>
                <w:sz w:val="16"/>
                <w:szCs w:val="16"/>
                <w:lang w:val="en-GB"/>
              </w:rPr>
              <w:t xml:space="preserve"> Man and Biosphere National Committee</w:t>
            </w:r>
            <w:r w:rsidR="008227E8">
              <w:rPr>
                <w:iCs/>
                <w:color w:val="000000"/>
                <w:sz w:val="16"/>
                <w:szCs w:val="16"/>
                <w:lang w:val="en-GB"/>
              </w:rPr>
              <w:t>;</w:t>
            </w:r>
            <w:r w:rsidRPr="00A71FFA">
              <w:rPr>
                <w:iCs/>
                <w:color w:val="000000"/>
                <w:sz w:val="16"/>
                <w:szCs w:val="16"/>
                <w:lang w:val="en-GB"/>
              </w:rPr>
              <w:t xml:space="preserve"> Parliament</w:t>
            </w:r>
            <w:r w:rsidR="008227E8">
              <w:rPr>
                <w:iCs/>
                <w:color w:val="000000"/>
                <w:sz w:val="16"/>
                <w:szCs w:val="16"/>
                <w:lang w:val="en-GB"/>
              </w:rPr>
              <w:t>;</w:t>
            </w:r>
            <w:r w:rsidRPr="00A71FFA">
              <w:rPr>
                <w:iCs/>
                <w:color w:val="000000"/>
                <w:sz w:val="16"/>
                <w:szCs w:val="16"/>
                <w:lang w:val="en-GB"/>
              </w:rPr>
              <w:t xml:space="preserve"> Prime Minister</w:t>
            </w:r>
            <w:r w:rsidR="00515196">
              <w:rPr>
                <w:iCs/>
                <w:color w:val="000000"/>
                <w:sz w:val="16"/>
                <w:szCs w:val="16"/>
                <w:lang w:val="en-GB"/>
              </w:rPr>
              <w:t>’</w:t>
            </w:r>
            <w:r w:rsidRPr="00A71FFA">
              <w:rPr>
                <w:iCs/>
                <w:color w:val="000000"/>
                <w:sz w:val="16"/>
                <w:szCs w:val="16"/>
                <w:lang w:val="en-GB"/>
              </w:rPr>
              <w:t>s Cabinet</w:t>
            </w:r>
            <w:r w:rsidR="008227E8">
              <w:rPr>
                <w:iCs/>
                <w:color w:val="000000"/>
                <w:sz w:val="16"/>
                <w:szCs w:val="16"/>
                <w:lang w:val="en-GB"/>
              </w:rPr>
              <w:t>;</w:t>
            </w:r>
            <w:r w:rsidRPr="00A71FFA">
              <w:rPr>
                <w:iCs/>
                <w:color w:val="000000"/>
                <w:sz w:val="16"/>
                <w:szCs w:val="16"/>
                <w:lang w:val="en-GB"/>
              </w:rPr>
              <w:t xml:space="preserve"> </w:t>
            </w:r>
            <w:r w:rsidRPr="00A71FFA">
              <w:rPr>
                <w:iCs/>
                <w:color w:val="000000"/>
                <w:sz w:val="16"/>
                <w:szCs w:val="16"/>
                <w:lang w:val="en-GB"/>
              </w:rPr>
              <w:lastRenderedPageBreak/>
              <w:t xml:space="preserve">National Council for Sustainable Development, </w:t>
            </w:r>
            <w:r w:rsidRPr="008227E8">
              <w:rPr>
                <w:iCs/>
                <w:color w:val="000000"/>
                <w:sz w:val="16"/>
                <w:szCs w:val="16"/>
                <w:lang w:val="en-GB"/>
              </w:rPr>
              <w:t>Climate Change and Integrated Coastal Zone Management</w:t>
            </w:r>
            <w:r w:rsidR="008227E8">
              <w:rPr>
                <w:iCs/>
                <w:color w:val="000000"/>
                <w:sz w:val="16"/>
                <w:szCs w:val="16"/>
                <w:lang w:val="en-GB"/>
              </w:rPr>
              <w:t>;</w:t>
            </w:r>
            <w:r w:rsidRPr="008227E8">
              <w:rPr>
                <w:iCs/>
                <w:color w:val="000000"/>
                <w:sz w:val="16"/>
                <w:szCs w:val="16"/>
                <w:lang w:val="en-GB"/>
              </w:rPr>
              <w:t xml:space="preserve"> media</w:t>
            </w:r>
            <w:r w:rsidR="008227E8">
              <w:rPr>
                <w:iCs/>
                <w:color w:val="000000"/>
                <w:sz w:val="16"/>
                <w:szCs w:val="16"/>
                <w:lang w:val="en-GB"/>
              </w:rPr>
              <w:t>; and the</w:t>
            </w:r>
            <w:r w:rsidRPr="00A71FFA">
              <w:rPr>
                <w:iCs/>
                <w:color w:val="000000"/>
                <w:sz w:val="16"/>
                <w:szCs w:val="16"/>
                <w:lang w:val="en-GB"/>
              </w:rPr>
              <w:t xml:space="preserve"> business sector</w:t>
            </w:r>
          </w:p>
        </w:tc>
        <w:tc>
          <w:tcPr>
            <w:tcW w:w="831" w:type="pct"/>
            <w:gridSpan w:val="2"/>
            <w:vMerge/>
            <w:tcMar>
              <w:top w:w="15" w:type="dxa"/>
              <w:left w:w="108" w:type="dxa"/>
              <w:bottom w:w="0" w:type="dxa"/>
              <w:right w:w="108" w:type="dxa"/>
            </w:tcMar>
          </w:tcPr>
          <w:p w14:paraId="60C3E678" w14:textId="73E68ADE" w:rsidR="008A70DD" w:rsidRPr="003F2C03" w:rsidRDefault="008A70DD" w:rsidP="00F5321D">
            <w:pPr>
              <w:rPr>
                <w:b/>
                <w:color w:val="000000"/>
                <w:sz w:val="16"/>
                <w:szCs w:val="16"/>
              </w:rPr>
            </w:pPr>
          </w:p>
        </w:tc>
      </w:tr>
      <w:tr w:rsidR="00207809" w:rsidRPr="003F2C03" w14:paraId="23B5F578" w14:textId="77777777" w:rsidTr="005F172E">
        <w:tc>
          <w:tcPr>
            <w:tcW w:w="1135" w:type="pct"/>
            <w:tcMar>
              <w:top w:w="72" w:type="dxa"/>
              <w:left w:w="144" w:type="dxa"/>
              <w:bottom w:w="72" w:type="dxa"/>
              <w:right w:w="144" w:type="dxa"/>
            </w:tcMar>
            <w:vAlign w:val="center"/>
          </w:tcPr>
          <w:p w14:paraId="524601DB" w14:textId="1F2ED7D7" w:rsidR="00207809" w:rsidRPr="00C601A1" w:rsidRDefault="00207809" w:rsidP="00207809">
            <w:pPr>
              <w:rPr>
                <w:b/>
                <w:sz w:val="16"/>
                <w:szCs w:val="16"/>
              </w:rPr>
            </w:pPr>
            <w:r w:rsidRPr="003F2C03">
              <w:rPr>
                <w:b/>
                <w:sz w:val="16"/>
                <w:szCs w:val="16"/>
                <w:lang w:eastAsia="uz-Cyrl-UZ"/>
              </w:rPr>
              <w:t xml:space="preserve">Indicator 3: </w:t>
            </w:r>
            <w:r w:rsidRPr="00C601A1">
              <w:rPr>
                <w:b/>
                <w:sz w:val="16"/>
                <w:szCs w:val="16"/>
              </w:rPr>
              <w:t>Rate of implementation of all components of national waste management action plan</w:t>
            </w:r>
            <w:r w:rsidRPr="00C601A1">
              <w:rPr>
                <w:b/>
                <w:sz w:val="16"/>
                <w:szCs w:val="16"/>
                <w:vertAlign w:val="superscript"/>
              </w:rPr>
              <w:footnoteReference w:id="27"/>
            </w:r>
          </w:p>
          <w:p w14:paraId="62C2034D" w14:textId="631B0B60" w:rsidR="00207809" w:rsidRPr="003F2C03" w:rsidRDefault="00207809" w:rsidP="00207809">
            <w:pPr>
              <w:rPr>
                <w:sz w:val="16"/>
                <w:szCs w:val="16"/>
                <w:u w:val="single"/>
              </w:rPr>
            </w:pPr>
            <w:r w:rsidRPr="00AA7688">
              <w:rPr>
                <w:b/>
                <w:sz w:val="16"/>
                <w:szCs w:val="16"/>
              </w:rPr>
              <w:t>Baseline</w:t>
            </w:r>
            <w:r w:rsidR="00CF476E" w:rsidRPr="00AA7688">
              <w:rPr>
                <w:b/>
                <w:sz w:val="16"/>
                <w:szCs w:val="16"/>
              </w:rPr>
              <w:t xml:space="preserve"> (2015)</w:t>
            </w:r>
            <w:r w:rsidRPr="00AA7688">
              <w:rPr>
                <w:b/>
                <w:sz w:val="16"/>
                <w:szCs w:val="16"/>
              </w:rPr>
              <w:t>:</w:t>
            </w:r>
            <w:r w:rsidRPr="003F2C03">
              <w:rPr>
                <w:sz w:val="16"/>
                <w:szCs w:val="16"/>
              </w:rPr>
              <w:t xml:space="preserve"> 0% </w:t>
            </w:r>
          </w:p>
          <w:p w14:paraId="48633E10" w14:textId="1F904B87" w:rsidR="00207809" w:rsidRPr="003F2C03" w:rsidRDefault="00207809" w:rsidP="00CF476E">
            <w:pPr>
              <w:rPr>
                <w:b/>
                <w:sz w:val="16"/>
                <w:szCs w:val="16"/>
                <w:lang w:eastAsia="uz-Cyrl-UZ"/>
              </w:rPr>
            </w:pPr>
            <w:r w:rsidRPr="00AA7688">
              <w:rPr>
                <w:b/>
                <w:sz w:val="16"/>
                <w:szCs w:val="16"/>
              </w:rPr>
              <w:t>Target</w:t>
            </w:r>
            <w:r w:rsidR="00CF476E" w:rsidRPr="00AA7688">
              <w:rPr>
                <w:b/>
                <w:sz w:val="16"/>
                <w:szCs w:val="16"/>
              </w:rPr>
              <w:t xml:space="preserve"> (2021)</w:t>
            </w:r>
            <w:r w:rsidRPr="00AA7688">
              <w:rPr>
                <w:b/>
                <w:sz w:val="16"/>
                <w:szCs w:val="16"/>
              </w:rPr>
              <w:t>:</w:t>
            </w:r>
            <w:r w:rsidRPr="003F2C03">
              <w:rPr>
                <w:sz w:val="16"/>
                <w:szCs w:val="16"/>
              </w:rPr>
              <w:t xml:space="preserve"> 100% </w:t>
            </w:r>
          </w:p>
        </w:tc>
        <w:tc>
          <w:tcPr>
            <w:tcW w:w="705" w:type="pct"/>
            <w:shd w:val="clear" w:color="auto" w:fill="auto"/>
            <w:vAlign w:val="center"/>
          </w:tcPr>
          <w:p w14:paraId="2250C68E" w14:textId="2E53C7CE" w:rsidR="00207809" w:rsidRPr="003F2C03" w:rsidRDefault="00207809" w:rsidP="00207809">
            <w:pPr>
              <w:rPr>
                <w:sz w:val="16"/>
                <w:szCs w:val="16"/>
                <w:lang w:eastAsia="uz-Cyrl-UZ"/>
              </w:rPr>
            </w:pPr>
            <w:r w:rsidRPr="003F2C03">
              <w:rPr>
                <w:sz w:val="16"/>
                <w:szCs w:val="16"/>
                <w:lang w:eastAsia="uz-Cyrl-UZ"/>
              </w:rPr>
              <w:t>Annual report of Ministry for Sustainable Development and Tourism</w:t>
            </w:r>
          </w:p>
        </w:tc>
        <w:tc>
          <w:tcPr>
            <w:tcW w:w="1624" w:type="pct"/>
            <w:tcMar>
              <w:top w:w="72" w:type="dxa"/>
              <w:left w:w="144" w:type="dxa"/>
              <w:bottom w:w="72" w:type="dxa"/>
              <w:right w:w="144" w:type="dxa"/>
            </w:tcMar>
          </w:tcPr>
          <w:p w14:paraId="5F24FEE1" w14:textId="7DAE31DC" w:rsidR="00207809" w:rsidRPr="003F2C03" w:rsidRDefault="00207809" w:rsidP="00207809">
            <w:pPr>
              <w:rPr>
                <w:iCs/>
                <w:color w:val="000000"/>
                <w:sz w:val="16"/>
                <w:szCs w:val="16"/>
                <w:lang w:val="en-GB"/>
              </w:rPr>
            </w:pPr>
            <w:r w:rsidRPr="003F2C03">
              <w:rPr>
                <w:b/>
                <w:iCs/>
                <w:color w:val="000000"/>
                <w:sz w:val="16"/>
                <w:szCs w:val="16"/>
                <w:lang w:val="en-GB"/>
              </w:rPr>
              <w:t>Output 2.3:</w:t>
            </w:r>
            <w:r w:rsidR="00C80614" w:rsidRPr="003F2C03">
              <w:rPr>
                <w:iCs/>
                <w:color w:val="000000"/>
                <w:sz w:val="16"/>
                <w:szCs w:val="16"/>
                <w:lang w:val="en-GB"/>
              </w:rPr>
              <w:t xml:space="preserve"> Improved </w:t>
            </w:r>
            <w:r w:rsidRPr="003F2C03">
              <w:rPr>
                <w:iCs/>
                <w:color w:val="000000"/>
                <w:sz w:val="16"/>
                <w:szCs w:val="16"/>
                <w:lang w:val="en-GB"/>
              </w:rPr>
              <w:t>management of chemicals and all wastes throughout their life cycle</w:t>
            </w:r>
            <w:r w:rsidR="00515196">
              <w:rPr>
                <w:iCs/>
                <w:color w:val="000000"/>
                <w:sz w:val="16"/>
                <w:szCs w:val="16"/>
                <w:lang w:val="en-GB"/>
              </w:rPr>
              <w:t>;</w:t>
            </w:r>
            <w:r w:rsidRPr="003F2C03">
              <w:rPr>
                <w:iCs/>
                <w:color w:val="000000"/>
                <w:sz w:val="16"/>
                <w:szCs w:val="16"/>
                <w:lang w:val="en-GB"/>
              </w:rPr>
              <w:t xml:space="preserve"> </w:t>
            </w:r>
            <w:r w:rsidR="00C80614" w:rsidRPr="003F2C03">
              <w:rPr>
                <w:iCs/>
                <w:color w:val="000000"/>
                <w:sz w:val="16"/>
                <w:szCs w:val="16"/>
                <w:lang w:val="en-GB"/>
              </w:rPr>
              <w:t>reduction of waste</w:t>
            </w:r>
            <w:r w:rsidRPr="003F2C03">
              <w:rPr>
                <w:iCs/>
                <w:color w:val="000000"/>
                <w:sz w:val="16"/>
                <w:szCs w:val="16"/>
                <w:lang w:val="en-GB"/>
              </w:rPr>
              <w:t xml:space="preserve"> release to air, water and soil</w:t>
            </w:r>
          </w:p>
          <w:p w14:paraId="2952DDCC" w14:textId="77777777" w:rsidR="00207809" w:rsidRPr="003F2C03" w:rsidRDefault="00207809" w:rsidP="00207809">
            <w:pPr>
              <w:rPr>
                <w:iCs/>
                <w:color w:val="000000"/>
                <w:sz w:val="16"/>
                <w:szCs w:val="16"/>
                <w:lang w:val="en-GB"/>
              </w:rPr>
            </w:pPr>
          </w:p>
          <w:p w14:paraId="6D486900" w14:textId="266078F6" w:rsidR="00207809" w:rsidRPr="003F2C03" w:rsidRDefault="00207809" w:rsidP="00207809">
            <w:pPr>
              <w:rPr>
                <w:iCs/>
                <w:color w:val="000000"/>
                <w:sz w:val="16"/>
                <w:szCs w:val="16"/>
                <w:lang w:val="en-GB"/>
              </w:rPr>
            </w:pPr>
            <w:r w:rsidRPr="003F2C03">
              <w:rPr>
                <w:b/>
                <w:iCs/>
                <w:color w:val="000000"/>
                <w:sz w:val="16"/>
                <w:szCs w:val="16"/>
                <w:lang w:val="en-GB"/>
              </w:rPr>
              <w:t xml:space="preserve">Indicator 2. 3.1: </w:t>
            </w:r>
            <w:r w:rsidRPr="003F2C03">
              <w:rPr>
                <w:iCs/>
                <w:color w:val="000000"/>
                <w:sz w:val="16"/>
                <w:szCs w:val="16"/>
                <w:lang w:val="en-GB"/>
              </w:rPr>
              <w:t>Tonnes of PCB waste and equipment containing PCB</w:t>
            </w:r>
            <w:r w:rsidR="00515196">
              <w:rPr>
                <w:iCs/>
                <w:color w:val="000000"/>
                <w:sz w:val="16"/>
                <w:szCs w:val="16"/>
                <w:lang w:val="en-GB"/>
              </w:rPr>
              <w:t>s</w:t>
            </w:r>
            <w:r w:rsidRPr="003F2C03">
              <w:rPr>
                <w:iCs/>
                <w:color w:val="000000"/>
                <w:sz w:val="16"/>
                <w:szCs w:val="16"/>
                <w:lang w:val="en-GB"/>
              </w:rPr>
              <w:t xml:space="preserve"> identified and phased out </w:t>
            </w:r>
          </w:p>
          <w:p w14:paraId="0DF11253" w14:textId="5E0D32F5" w:rsidR="00207809" w:rsidRPr="003F2C03" w:rsidRDefault="00207809" w:rsidP="00207809">
            <w:pPr>
              <w:rPr>
                <w:b/>
                <w:iCs/>
                <w:color w:val="000000"/>
                <w:sz w:val="16"/>
                <w:szCs w:val="16"/>
                <w:lang w:val="en-GB"/>
              </w:rPr>
            </w:pPr>
            <w:r w:rsidRPr="003F2C03">
              <w:rPr>
                <w:b/>
                <w:iCs/>
                <w:color w:val="000000"/>
                <w:sz w:val="16"/>
                <w:szCs w:val="16"/>
                <w:lang w:val="en-GB"/>
              </w:rPr>
              <w:t>Baseline</w:t>
            </w:r>
            <w:r w:rsidR="008B6C87">
              <w:rPr>
                <w:b/>
                <w:iCs/>
                <w:color w:val="000000"/>
                <w:sz w:val="16"/>
                <w:szCs w:val="16"/>
                <w:lang w:val="en-GB"/>
              </w:rPr>
              <w:t xml:space="preserve"> </w:t>
            </w:r>
            <w:r w:rsidR="008B6C87" w:rsidRPr="00AA7688">
              <w:rPr>
                <w:iCs/>
                <w:color w:val="000000"/>
                <w:sz w:val="16"/>
                <w:szCs w:val="16"/>
                <w:lang w:val="en-GB"/>
              </w:rPr>
              <w:t>(2015)</w:t>
            </w:r>
            <w:r w:rsidRPr="00AA7688">
              <w:rPr>
                <w:iCs/>
                <w:color w:val="000000"/>
                <w:sz w:val="16"/>
                <w:szCs w:val="16"/>
                <w:lang w:val="en-GB"/>
              </w:rPr>
              <w:t>:</w:t>
            </w:r>
            <w:r w:rsidRPr="003F2C03">
              <w:rPr>
                <w:b/>
                <w:iCs/>
                <w:color w:val="000000"/>
                <w:sz w:val="16"/>
                <w:szCs w:val="16"/>
                <w:lang w:val="en-GB"/>
              </w:rPr>
              <w:t xml:space="preserve"> </w:t>
            </w:r>
            <w:r w:rsidRPr="003F2C03">
              <w:rPr>
                <w:iCs/>
                <w:color w:val="000000"/>
                <w:sz w:val="16"/>
                <w:szCs w:val="16"/>
                <w:lang w:val="en-GB"/>
              </w:rPr>
              <w:t xml:space="preserve">0 </w:t>
            </w:r>
          </w:p>
          <w:p w14:paraId="7458AE3A" w14:textId="3B68C6AF" w:rsidR="00207809" w:rsidRPr="003F2C03" w:rsidRDefault="00207809" w:rsidP="00207809">
            <w:pPr>
              <w:rPr>
                <w:iCs/>
                <w:color w:val="000000"/>
                <w:sz w:val="16"/>
                <w:szCs w:val="16"/>
                <w:lang w:val="en-GB"/>
              </w:rPr>
            </w:pPr>
            <w:r w:rsidRPr="003F2C03">
              <w:rPr>
                <w:b/>
                <w:iCs/>
                <w:color w:val="000000"/>
                <w:sz w:val="16"/>
                <w:szCs w:val="16"/>
                <w:lang w:val="en-GB"/>
              </w:rPr>
              <w:t>Target</w:t>
            </w:r>
            <w:r w:rsidR="008B6C87">
              <w:rPr>
                <w:b/>
                <w:iCs/>
                <w:color w:val="000000"/>
                <w:sz w:val="16"/>
                <w:szCs w:val="16"/>
                <w:lang w:val="en-GB"/>
              </w:rPr>
              <w:t xml:space="preserve"> </w:t>
            </w:r>
            <w:r w:rsidR="008B6C87" w:rsidRPr="00AA7688">
              <w:rPr>
                <w:iCs/>
                <w:color w:val="000000"/>
                <w:sz w:val="16"/>
                <w:szCs w:val="16"/>
                <w:lang w:val="en-GB"/>
              </w:rPr>
              <w:t>(2021)</w:t>
            </w:r>
            <w:r w:rsidRPr="00AA7688">
              <w:rPr>
                <w:iCs/>
                <w:color w:val="000000"/>
                <w:sz w:val="16"/>
                <w:szCs w:val="16"/>
                <w:lang w:val="en-GB"/>
              </w:rPr>
              <w:t>:</w:t>
            </w:r>
            <w:r w:rsidRPr="003F2C03">
              <w:rPr>
                <w:b/>
                <w:iCs/>
                <w:color w:val="000000"/>
                <w:sz w:val="16"/>
                <w:szCs w:val="16"/>
                <w:lang w:val="en-GB"/>
              </w:rPr>
              <w:t xml:space="preserve"> </w:t>
            </w:r>
            <w:r w:rsidRPr="003F2C03">
              <w:rPr>
                <w:iCs/>
                <w:color w:val="000000"/>
                <w:sz w:val="16"/>
                <w:szCs w:val="16"/>
                <w:lang w:val="en-GB"/>
              </w:rPr>
              <w:t>700</w:t>
            </w:r>
            <w:r w:rsidR="00E60EDA">
              <w:rPr>
                <w:iCs/>
                <w:color w:val="000000"/>
                <w:sz w:val="16"/>
                <w:szCs w:val="16"/>
                <w:lang w:val="en-GB"/>
              </w:rPr>
              <w:t xml:space="preserve"> </w:t>
            </w:r>
            <w:r w:rsidRPr="003F2C03">
              <w:rPr>
                <w:iCs/>
                <w:color w:val="000000"/>
                <w:sz w:val="16"/>
                <w:szCs w:val="16"/>
                <w:lang w:val="en-GB"/>
              </w:rPr>
              <w:t>t</w:t>
            </w:r>
            <w:r w:rsidR="00E60EDA">
              <w:rPr>
                <w:iCs/>
                <w:color w:val="000000"/>
                <w:sz w:val="16"/>
                <w:szCs w:val="16"/>
                <w:lang w:val="en-GB"/>
              </w:rPr>
              <w:t>onnes</w:t>
            </w:r>
            <w:r w:rsidRPr="003F2C03">
              <w:rPr>
                <w:iCs/>
                <w:color w:val="000000"/>
                <w:sz w:val="16"/>
                <w:szCs w:val="16"/>
                <w:lang w:val="en-GB"/>
              </w:rPr>
              <w:t xml:space="preserve"> </w:t>
            </w:r>
          </w:p>
          <w:p w14:paraId="0920CA21" w14:textId="77777777" w:rsidR="00207809" w:rsidRPr="003F2C03" w:rsidRDefault="00207809" w:rsidP="00207809">
            <w:pPr>
              <w:rPr>
                <w:iCs/>
                <w:color w:val="000000"/>
                <w:sz w:val="16"/>
                <w:szCs w:val="16"/>
                <w:lang w:val="en-GB"/>
              </w:rPr>
            </w:pPr>
          </w:p>
          <w:p w14:paraId="49F70C8F" w14:textId="3D9AEDB5" w:rsidR="00207809" w:rsidRPr="003F2C03" w:rsidRDefault="00207809" w:rsidP="00207809">
            <w:pPr>
              <w:rPr>
                <w:sz w:val="16"/>
                <w:szCs w:val="16"/>
                <w:lang w:eastAsia="uz-Cyrl-UZ"/>
              </w:rPr>
            </w:pPr>
            <w:r w:rsidRPr="003F2C03">
              <w:rPr>
                <w:iCs/>
                <w:color w:val="000000"/>
                <w:sz w:val="16"/>
                <w:szCs w:val="16"/>
                <w:lang w:val="en-GB"/>
              </w:rPr>
              <w:t>I</w:t>
            </w:r>
            <w:r w:rsidRPr="003F2C03">
              <w:rPr>
                <w:b/>
                <w:iCs/>
                <w:color w:val="000000"/>
                <w:sz w:val="16"/>
                <w:szCs w:val="16"/>
                <w:lang w:val="en-GB"/>
              </w:rPr>
              <w:t>ndicator 2.3.2</w:t>
            </w:r>
            <w:r w:rsidRPr="003F2C03">
              <w:rPr>
                <w:iCs/>
                <w:color w:val="000000"/>
                <w:sz w:val="16"/>
                <w:szCs w:val="16"/>
                <w:lang w:val="en-GB"/>
              </w:rPr>
              <w:t>: Tonnes of soil in sites w</w:t>
            </w:r>
            <w:r w:rsidR="00515196">
              <w:rPr>
                <w:iCs/>
                <w:color w:val="000000"/>
                <w:sz w:val="16"/>
                <w:szCs w:val="16"/>
                <w:lang w:val="en-GB"/>
              </w:rPr>
              <w:t>h</w:t>
            </w:r>
            <w:r w:rsidRPr="003F2C03">
              <w:rPr>
                <w:iCs/>
                <w:color w:val="000000"/>
                <w:sz w:val="16"/>
                <w:szCs w:val="16"/>
                <w:lang w:val="en-GB"/>
              </w:rPr>
              <w:t>ere PCB</w:t>
            </w:r>
            <w:r w:rsidR="00515196">
              <w:rPr>
                <w:iCs/>
                <w:color w:val="000000"/>
                <w:sz w:val="16"/>
                <w:szCs w:val="16"/>
                <w:lang w:val="en-GB"/>
              </w:rPr>
              <w:t>-</w:t>
            </w:r>
            <w:r w:rsidRPr="003F2C03">
              <w:rPr>
                <w:iCs/>
                <w:color w:val="000000"/>
                <w:sz w:val="16"/>
                <w:szCs w:val="16"/>
                <w:lang w:val="en-GB"/>
              </w:rPr>
              <w:t xml:space="preserve"> contaminated equipment had been operated or maintained </w:t>
            </w:r>
            <w:r w:rsidR="00515196">
              <w:rPr>
                <w:iCs/>
                <w:color w:val="000000"/>
                <w:sz w:val="16"/>
                <w:szCs w:val="16"/>
                <w:lang w:val="en-GB"/>
              </w:rPr>
              <w:t xml:space="preserve">that are </w:t>
            </w:r>
            <w:r w:rsidRPr="003F2C03">
              <w:rPr>
                <w:iCs/>
                <w:color w:val="000000"/>
                <w:sz w:val="16"/>
                <w:szCs w:val="16"/>
                <w:lang w:val="en-GB"/>
              </w:rPr>
              <w:t xml:space="preserve">identified and phased out  </w:t>
            </w:r>
          </w:p>
          <w:p w14:paraId="25A9A91C" w14:textId="7B9E1330" w:rsidR="00207809" w:rsidRPr="003F2C03" w:rsidRDefault="00207809" w:rsidP="00207809">
            <w:pPr>
              <w:rPr>
                <w:sz w:val="16"/>
                <w:szCs w:val="16"/>
                <w:lang w:eastAsia="uz-Cyrl-UZ"/>
              </w:rPr>
            </w:pPr>
            <w:r w:rsidRPr="003F2C03">
              <w:rPr>
                <w:b/>
                <w:sz w:val="16"/>
                <w:szCs w:val="16"/>
                <w:lang w:eastAsia="uz-Cyrl-UZ"/>
              </w:rPr>
              <w:t>Baseline</w:t>
            </w:r>
            <w:r w:rsidRPr="003F2C03">
              <w:rPr>
                <w:sz w:val="16"/>
                <w:szCs w:val="16"/>
                <w:lang w:eastAsia="uz-Cyrl-UZ"/>
              </w:rPr>
              <w:t xml:space="preserve"> </w:t>
            </w:r>
            <w:r w:rsidR="00515196">
              <w:rPr>
                <w:sz w:val="16"/>
                <w:szCs w:val="16"/>
                <w:lang w:eastAsia="uz-Cyrl-UZ"/>
              </w:rPr>
              <w:t>(2015)</w:t>
            </w:r>
            <w:r w:rsidRPr="003F2C03">
              <w:rPr>
                <w:sz w:val="16"/>
                <w:szCs w:val="16"/>
                <w:lang w:eastAsia="uz-Cyrl-UZ"/>
              </w:rPr>
              <w:t xml:space="preserve">: 0 </w:t>
            </w:r>
          </w:p>
          <w:p w14:paraId="78C964DF" w14:textId="7A5321DA" w:rsidR="00207809" w:rsidRPr="003F2C03" w:rsidRDefault="00207809" w:rsidP="00207809">
            <w:pPr>
              <w:rPr>
                <w:sz w:val="16"/>
                <w:szCs w:val="16"/>
                <w:lang w:eastAsia="uz-Cyrl-UZ"/>
              </w:rPr>
            </w:pPr>
            <w:r w:rsidRPr="003F2C03">
              <w:rPr>
                <w:b/>
                <w:sz w:val="16"/>
                <w:szCs w:val="16"/>
                <w:lang w:eastAsia="uz-Cyrl-UZ"/>
              </w:rPr>
              <w:t>Target</w:t>
            </w:r>
            <w:r w:rsidR="00515196">
              <w:rPr>
                <w:b/>
                <w:sz w:val="16"/>
                <w:szCs w:val="16"/>
                <w:lang w:eastAsia="uz-Cyrl-UZ"/>
              </w:rPr>
              <w:t xml:space="preserve"> </w:t>
            </w:r>
            <w:r w:rsidR="00515196" w:rsidRPr="00AA7688">
              <w:rPr>
                <w:sz w:val="16"/>
                <w:szCs w:val="16"/>
                <w:lang w:eastAsia="uz-Cyrl-UZ"/>
              </w:rPr>
              <w:t>(2021)</w:t>
            </w:r>
            <w:r w:rsidRPr="00AA7688">
              <w:rPr>
                <w:sz w:val="16"/>
                <w:szCs w:val="16"/>
                <w:lang w:eastAsia="uz-Cyrl-UZ"/>
              </w:rPr>
              <w:t>:</w:t>
            </w:r>
            <w:r w:rsidRPr="003F2C03">
              <w:rPr>
                <w:sz w:val="16"/>
                <w:szCs w:val="16"/>
                <w:lang w:eastAsia="uz-Cyrl-UZ"/>
              </w:rPr>
              <w:t xml:space="preserve"> 200</w:t>
            </w:r>
            <w:r w:rsidR="00515196">
              <w:rPr>
                <w:sz w:val="16"/>
                <w:szCs w:val="16"/>
                <w:lang w:eastAsia="uz-Cyrl-UZ"/>
              </w:rPr>
              <w:t xml:space="preserve"> </w:t>
            </w:r>
          </w:p>
          <w:p w14:paraId="612FA6B6" w14:textId="77777777" w:rsidR="00207809" w:rsidRPr="003F2C03" w:rsidRDefault="00207809" w:rsidP="00207809">
            <w:pPr>
              <w:rPr>
                <w:sz w:val="16"/>
                <w:szCs w:val="16"/>
                <w:lang w:eastAsia="uz-Cyrl-UZ"/>
              </w:rPr>
            </w:pPr>
          </w:p>
          <w:p w14:paraId="7C1B7CF0" w14:textId="16731366" w:rsidR="00207809" w:rsidRPr="003F2C03" w:rsidRDefault="00207809" w:rsidP="00207809">
            <w:pPr>
              <w:rPr>
                <w:iCs/>
                <w:color w:val="000000"/>
                <w:sz w:val="16"/>
                <w:szCs w:val="16"/>
                <w:lang w:val="en-GB"/>
              </w:rPr>
            </w:pPr>
            <w:r w:rsidRPr="003F2C03">
              <w:rPr>
                <w:b/>
                <w:iCs/>
                <w:color w:val="000000"/>
                <w:sz w:val="16"/>
                <w:szCs w:val="16"/>
                <w:lang w:val="en-GB"/>
              </w:rPr>
              <w:t>Indicator 2.3.3:</w:t>
            </w:r>
            <w:r w:rsidRPr="003F2C03">
              <w:rPr>
                <w:iCs/>
                <w:color w:val="000000"/>
                <w:sz w:val="16"/>
                <w:szCs w:val="16"/>
                <w:lang w:val="en-GB"/>
              </w:rPr>
              <w:t xml:space="preserve"> Mercury </w:t>
            </w:r>
            <w:r w:rsidR="00515196">
              <w:rPr>
                <w:iCs/>
                <w:color w:val="000000"/>
                <w:sz w:val="16"/>
                <w:szCs w:val="16"/>
                <w:lang w:val="en-GB"/>
              </w:rPr>
              <w:t>a</w:t>
            </w:r>
            <w:r w:rsidRPr="003F2C03">
              <w:rPr>
                <w:iCs/>
                <w:color w:val="000000"/>
                <w:sz w:val="16"/>
                <w:szCs w:val="16"/>
                <w:lang w:val="en-GB"/>
              </w:rPr>
              <w:t xml:space="preserve">ssessment </w:t>
            </w:r>
            <w:r w:rsidR="005330F9" w:rsidRPr="003F2C03">
              <w:rPr>
                <w:iCs/>
                <w:color w:val="000000"/>
                <w:sz w:val="16"/>
                <w:szCs w:val="16"/>
                <w:lang w:val="en-GB"/>
              </w:rPr>
              <w:t xml:space="preserve">and </w:t>
            </w:r>
            <w:r w:rsidR="00515196">
              <w:rPr>
                <w:iCs/>
                <w:color w:val="000000"/>
                <w:sz w:val="16"/>
                <w:szCs w:val="16"/>
                <w:lang w:val="en-GB"/>
              </w:rPr>
              <w:t>i</w:t>
            </w:r>
            <w:r w:rsidR="005330F9" w:rsidRPr="003F2C03">
              <w:rPr>
                <w:iCs/>
                <w:color w:val="000000"/>
                <w:sz w:val="16"/>
                <w:szCs w:val="16"/>
                <w:lang w:val="en-GB"/>
              </w:rPr>
              <w:t xml:space="preserve">nventory </w:t>
            </w:r>
            <w:r w:rsidRPr="003F2C03">
              <w:rPr>
                <w:iCs/>
                <w:color w:val="000000"/>
                <w:sz w:val="16"/>
                <w:szCs w:val="16"/>
                <w:lang w:val="en-GB"/>
              </w:rPr>
              <w:t xml:space="preserve">developed </w:t>
            </w:r>
          </w:p>
          <w:p w14:paraId="459507D0" w14:textId="598F6071" w:rsidR="00207809" w:rsidRPr="003F2C03" w:rsidRDefault="00207809" w:rsidP="00207809">
            <w:pPr>
              <w:rPr>
                <w:iCs/>
                <w:color w:val="000000"/>
                <w:sz w:val="16"/>
                <w:szCs w:val="16"/>
                <w:lang w:val="en-GB"/>
              </w:rPr>
            </w:pPr>
            <w:r w:rsidRPr="003F2C03">
              <w:rPr>
                <w:b/>
                <w:iCs/>
                <w:color w:val="000000"/>
                <w:sz w:val="16"/>
                <w:szCs w:val="16"/>
                <w:lang w:val="en-GB"/>
              </w:rPr>
              <w:t xml:space="preserve">Baseline </w:t>
            </w:r>
            <w:r w:rsidR="00515196" w:rsidRPr="00AA7688">
              <w:rPr>
                <w:iCs/>
                <w:color w:val="000000"/>
                <w:sz w:val="16"/>
                <w:szCs w:val="16"/>
                <w:lang w:val="en-GB"/>
              </w:rPr>
              <w:t>(</w:t>
            </w:r>
            <w:r w:rsidRPr="00AA7688">
              <w:rPr>
                <w:iCs/>
                <w:color w:val="000000"/>
                <w:sz w:val="16"/>
                <w:szCs w:val="16"/>
                <w:lang w:val="en-GB"/>
              </w:rPr>
              <w:t>2015</w:t>
            </w:r>
            <w:r w:rsidR="00515196">
              <w:rPr>
                <w:b/>
                <w:iCs/>
                <w:color w:val="000000"/>
                <w:sz w:val="16"/>
                <w:szCs w:val="16"/>
                <w:lang w:val="en-GB"/>
              </w:rPr>
              <w:t>)</w:t>
            </w:r>
            <w:r w:rsidRPr="003F2C03">
              <w:rPr>
                <w:iCs/>
                <w:color w:val="000000"/>
                <w:sz w:val="16"/>
                <w:szCs w:val="16"/>
                <w:lang w:val="en-GB"/>
              </w:rPr>
              <w:t xml:space="preserve">: </w:t>
            </w:r>
            <w:r w:rsidR="005330F9" w:rsidRPr="003F2C03">
              <w:rPr>
                <w:iCs/>
                <w:color w:val="000000"/>
                <w:sz w:val="16"/>
                <w:szCs w:val="16"/>
                <w:lang w:val="en-GB"/>
              </w:rPr>
              <w:t>N</w:t>
            </w:r>
            <w:r w:rsidRPr="003F2C03">
              <w:rPr>
                <w:iCs/>
                <w:color w:val="000000"/>
                <w:sz w:val="16"/>
                <w:szCs w:val="16"/>
                <w:lang w:val="en-GB"/>
              </w:rPr>
              <w:t>o</w:t>
            </w:r>
            <w:r w:rsidR="005330F9" w:rsidRPr="003F2C03">
              <w:rPr>
                <w:iCs/>
                <w:color w:val="000000"/>
                <w:sz w:val="16"/>
                <w:szCs w:val="16"/>
                <w:lang w:val="en-GB"/>
              </w:rPr>
              <w:t xml:space="preserve"> </w:t>
            </w:r>
            <w:r w:rsidR="00515196">
              <w:rPr>
                <w:iCs/>
                <w:color w:val="000000"/>
                <w:sz w:val="16"/>
                <w:szCs w:val="16"/>
                <w:lang w:val="en-GB"/>
              </w:rPr>
              <w:t>a</w:t>
            </w:r>
            <w:r w:rsidR="005330F9" w:rsidRPr="003F2C03">
              <w:rPr>
                <w:iCs/>
                <w:color w:val="000000"/>
                <w:sz w:val="16"/>
                <w:szCs w:val="16"/>
                <w:lang w:val="en-GB"/>
              </w:rPr>
              <w:t>ssessment or</w:t>
            </w:r>
            <w:r w:rsidRPr="003F2C03">
              <w:rPr>
                <w:iCs/>
                <w:color w:val="000000"/>
                <w:sz w:val="16"/>
                <w:szCs w:val="16"/>
                <w:lang w:val="en-GB"/>
              </w:rPr>
              <w:t xml:space="preserve"> </w:t>
            </w:r>
            <w:r w:rsidR="00515196">
              <w:rPr>
                <w:iCs/>
                <w:color w:val="000000"/>
                <w:sz w:val="16"/>
                <w:szCs w:val="16"/>
                <w:lang w:val="en-GB"/>
              </w:rPr>
              <w:t>i</w:t>
            </w:r>
            <w:r w:rsidRPr="003F2C03">
              <w:rPr>
                <w:iCs/>
                <w:color w:val="000000"/>
                <w:sz w:val="16"/>
                <w:szCs w:val="16"/>
                <w:lang w:val="en-GB"/>
              </w:rPr>
              <w:t xml:space="preserve">nventory </w:t>
            </w:r>
          </w:p>
          <w:p w14:paraId="01597D86" w14:textId="2BF226B3" w:rsidR="00207809" w:rsidRPr="003F2C03" w:rsidRDefault="00207809" w:rsidP="00207809">
            <w:pPr>
              <w:rPr>
                <w:iCs/>
                <w:color w:val="000000"/>
                <w:sz w:val="16"/>
                <w:szCs w:val="16"/>
                <w:lang w:val="en-GB"/>
              </w:rPr>
            </w:pPr>
            <w:r w:rsidRPr="003F2C03">
              <w:rPr>
                <w:b/>
                <w:iCs/>
                <w:color w:val="000000"/>
                <w:sz w:val="16"/>
                <w:szCs w:val="16"/>
                <w:lang w:val="en-GB"/>
              </w:rPr>
              <w:t>Target</w:t>
            </w:r>
            <w:r w:rsidR="008B6C87">
              <w:rPr>
                <w:b/>
                <w:iCs/>
                <w:color w:val="000000"/>
                <w:sz w:val="16"/>
                <w:szCs w:val="16"/>
                <w:lang w:val="en-GB"/>
              </w:rPr>
              <w:t xml:space="preserve"> </w:t>
            </w:r>
            <w:r w:rsidR="008B6C87" w:rsidRPr="00AA7688">
              <w:rPr>
                <w:iCs/>
                <w:color w:val="000000"/>
                <w:sz w:val="16"/>
                <w:szCs w:val="16"/>
                <w:lang w:val="en-GB"/>
              </w:rPr>
              <w:t>(2021)</w:t>
            </w:r>
            <w:r w:rsidRPr="008B6C87">
              <w:rPr>
                <w:iCs/>
                <w:color w:val="000000"/>
                <w:sz w:val="16"/>
                <w:szCs w:val="16"/>
                <w:lang w:val="en-GB"/>
              </w:rPr>
              <w:t>:</w:t>
            </w:r>
            <w:r w:rsidRPr="003F2C03">
              <w:rPr>
                <w:iCs/>
                <w:color w:val="000000"/>
                <w:sz w:val="16"/>
                <w:szCs w:val="16"/>
                <w:lang w:val="en-GB"/>
              </w:rPr>
              <w:t xml:space="preserve"> </w:t>
            </w:r>
            <w:r w:rsidR="005330F9" w:rsidRPr="003F2C03">
              <w:rPr>
                <w:iCs/>
                <w:color w:val="000000"/>
                <w:sz w:val="16"/>
                <w:szCs w:val="16"/>
                <w:lang w:val="en-GB"/>
              </w:rPr>
              <w:t>Assessment and</w:t>
            </w:r>
            <w:r w:rsidRPr="003F2C03">
              <w:rPr>
                <w:iCs/>
                <w:color w:val="000000"/>
                <w:sz w:val="16"/>
                <w:szCs w:val="16"/>
                <w:lang w:val="en-GB"/>
              </w:rPr>
              <w:t xml:space="preserve"> </w:t>
            </w:r>
            <w:r w:rsidR="00515196">
              <w:rPr>
                <w:iCs/>
                <w:color w:val="000000"/>
                <w:sz w:val="16"/>
                <w:szCs w:val="16"/>
                <w:lang w:val="en-GB"/>
              </w:rPr>
              <w:t>i</w:t>
            </w:r>
            <w:r w:rsidRPr="003F2C03">
              <w:rPr>
                <w:iCs/>
                <w:color w:val="000000"/>
                <w:sz w:val="16"/>
                <w:szCs w:val="16"/>
                <w:lang w:val="en-GB"/>
              </w:rPr>
              <w:t>nventory developed and approved by G</w:t>
            </w:r>
            <w:r w:rsidR="00515196">
              <w:rPr>
                <w:iCs/>
                <w:color w:val="000000"/>
                <w:sz w:val="16"/>
                <w:szCs w:val="16"/>
                <w:lang w:val="en-GB"/>
              </w:rPr>
              <w:t>overnment</w:t>
            </w:r>
          </w:p>
          <w:p w14:paraId="058FB7C9" w14:textId="77777777" w:rsidR="00C80614" w:rsidRPr="003F2C03" w:rsidRDefault="00C80614" w:rsidP="00207809">
            <w:pPr>
              <w:rPr>
                <w:b/>
                <w:iCs/>
                <w:color w:val="000000"/>
                <w:sz w:val="16"/>
                <w:szCs w:val="16"/>
                <w:lang w:val="en-GB"/>
              </w:rPr>
            </w:pPr>
          </w:p>
          <w:p w14:paraId="0FDDE7CB" w14:textId="18DF9333" w:rsidR="00207809" w:rsidRPr="003F2C03" w:rsidRDefault="00207809" w:rsidP="005330F9">
            <w:pPr>
              <w:rPr>
                <w:b/>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National Inventory </w:t>
            </w:r>
            <w:r w:rsidR="005330F9" w:rsidRPr="003F2C03">
              <w:rPr>
                <w:iCs/>
                <w:color w:val="000000"/>
                <w:sz w:val="16"/>
                <w:szCs w:val="16"/>
                <w:lang w:val="en-GB"/>
              </w:rPr>
              <w:t xml:space="preserve">Report </w:t>
            </w:r>
          </w:p>
        </w:tc>
        <w:tc>
          <w:tcPr>
            <w:tcW w:w="705" w:type="pct"/>
            <w:gridSpan w:val="2"/>
          </w:tcPr>
          <w:p w14:paraId="4F11FEAF" w14:textId="050EBB21" w:rsidR="00207809" w:rsidRPr="00A71FFA" w:rsidRDefault="00207809" w:rsidP="00515196">
            <w:pPr>
              <w:rPr>
                <w:iCs/>
                <w:color w:val="000000"/>
                <w:sz w:val="16"/>
                <w:szCs w:val="16"/>
                <w:lang w:val="en-GB"/>
              </w:rPr>
            </w:pPr>
            <w:r w:rsidRPr="00A71FFA">
              <w:rPr>
                <w:iCs/>
                <w:color w:val="000000"/>
                <w:sz w:val="16"/>
                <w:szCs w:val="16"/>
                <w:lang w:val="en-GB"/>
              </w:rPr>
              <w:t xml:space="preserve">Ministry for Sustainable Development and Tourism, Centre for Eco Toxicological Research,  </w:t>
            </w:r>
            <w:r w:rsidR="00515196">
              <w:rPr>
                <w:iCs/>
                <w:color w:val="000000"/>
                <w:sz w:val="16"/>
                <w:szCs w:val="16"/>
                <w:lang w:val="en-GB"/>
              </w:rPr>
              <w:t>e</w:t>
            </w:r>
            <w:r w:rsidRPr="00A71FFA">
              <w:rPr>
                <w:iCs/>
                <w:color w:val="000000"/>
                <w:sz w:val="16"/>
                <w:szCs w:val="16"/>
                <w:lang w:val="en-GB"/>
              </w:rPr>
              <w:t xml:space="preserve">lectricity </w:t>
            </w:r>
            <w:r w:rsidR="00515196">
              <w:rPr>
                <w:iCs/>
                <w:color w:val="000000"/>
                <w:sz w:val="16"/>
                <w:szCs w:val="16"/>
                <w:lang w:val="en-GB"/>
              </w:rPr>
              <w:t>c</w:t>
            </w:r>
            <w:r w:rsidRPr="00A71FFA">
              <w:rPr>
                <w:iCs/>
                <w:color w:val="000000"/>
                <w:sz w:val="16"/>
                <w:szCs w:val="16"/>
                <w:lang w:val="en-GB"/>
              </w:rPr>
              <w:t>ompany</w:t>
            </w:r>
            <w:r w:rsidR="00515196">
              <w:rPr>
                <w:iCs/>
                <w:color w:val="000000"/>
                <w:sz w:val="16"/>
                <w:szCs w:val="16"/>
                <w:lang w:val="en-GB"/>
              </w:rPr>
              <w:t>,</w:t>
            </w:r>
            <w:r w:rsidRPr="00A71FFA">
              <w:rPr>
                <w:iCs/>
                <w:color w:val="000000"/>
                <w:sz w:val="16"/>
                <w:szCs w:val="16"/>
                <w:lang w:val="en-GB"/>
              </w:rPr>
              <w:t xml:space="preserve">  </w:t>
            </w:r>
            <w:r w:rsidR="00515196">
              <w:rPr>
                <w:iCs/>
                <w:color w:val="000000"/>
                <w:sz w:val="16"/>
                <w:szCs w:val="16"/>
                <w:lang w:val="en-GB"/>
              </w:rPr>
              <w:t>a</w:t>
            </w:r>
            <w:r w:rsidRPr="00A71FFA">
              <w:rPr>
                <w:iCs/>
                <w:color w:val="000000"/>
                <w:sz w:val="16"/>
                <w:szCs w:val="16"/>
                <w:lang w:val="en-GB"/>
              </w:rPr>
              <w:t xml:space="preserve">luminium </w:t>
            </w:r>
            <w:r w:rsidR="00515196">
              <w:rPr>
                <w:iCs/>
                <w:color w:val="000000"/>
                <w:sz w:val="16"/>
                <w:szCs w:val="16"/>
                <w:lang w:val="en-GB"/>
              </w:rPr>
              <w:t>p</w:t>
            </w:r>
            <w:r w:rsidRPr="00A71FFA">
              <w:rPr>
                <w:iCs/>
                <w:color w:val="000000"/>
                <w:sz w:val="16"/>
                <w:szCs w:val="16"/>
                <w:lang w:val="en-GB"/>
              </w:rPr>
              <w:t>lant</w:t>
            </w:r>
            <w:r w:rsidR="00DB1024">
              <w:rPr>
                <w:iCs/>
                <w:color w:val="000000"/>
                <w:sz w:val="16"/>
                <w:szCs w:val="16"/>
                <w:lang w:val="en-GB"/>
              </w:rPr>
              <w:t xml:space="preserve">, </w:t>
            </w:r>
            <w:r w:rsidRPr="00A71FFA">
              <w:rPr>
                <w:iCs/>
                <w:color w:val="000000"/>
                <w:sz w:val="16"/>
                <w:szCs w:val="16"/>
                <w:lang w:val="en-GB"/>
              </w:rPr>
              <w:t>Environmental Protection Agency, business sector, academia</w:t>
            </w:r>
          </w:p>
        </w:tc>
        <w:tc>
          <w:tcPr>
            <w:tcW w:w="831" w:type="pct"/>
            <w:gridSpan w:val="2"/>
            <w:vMerge/>
            <w:tcMar>
              <w:top w:w="15" w:type="dxa"/>
              <w:left w:w="108" w:type="dxa"/>
              <w:bottom w:w="0" w:type="dxa"/>
              <w:right w:w="108" w:type="dxa"/>
            </w:tcMar>
          </w:tcPr>
          <w:p w14:paraId="0064524D" w14:textId="77777777" w:rsidR="00207809" w:rsidRPr="003F2C03" w:rsidRDefault="00207809" w:rsidP="00207809">
            <w:pPr>
              <w:rPr>
                <w:b/>
                <w:color w:val="000000"/>
                <w:sz w:val="16"/>
                <w:szCs w:val="16"/>
              </w:rPr>
            </w:pPr>
          </w:p>
        </w:tc>
      </w:tr>
      <w:tr w:rsidR="002C2321" w:rsidRPr="003F2C03" w14:paraId="0692965B" w14:textId="77777777" w:rsidTr="005F172E">
        <w:tc>
          <w:tcPr>
            <w:tcW w:w="1135" w:type="pct"/>
            <w:tcMar>
              <w:top w:w="72" w:type="dxa"/>
              <w:left w:w="144" w:type="dxa"/>
              <w:bottom w:w="72" w:type="dxa"/>
              <w:right w:w="144" w:type="dxa"/>
            </w:tcMar>
            <w:vAlign w:val="center"/>
          </w:tcPr>
          <w:p w14:paraId="71F9C500" w14:textId="2B1E3C07" w:rsidR="002C2321" w:rsidRPr="00C601A1" w:rsidRDefault="002C2321" w:rsidP="002C2321">
            <w:pPr>
              <w:rPr>
                <w:b/>
                <w:sz w:val="16"/>
                <w:szCs w:val="16"/>
              </w:rPr>
            </w:pPr>
            <w:r w:rsidRPr="003F2C03">
              <w:rPr>
                <w:b/>
                <w:sz w:val="16"/>
                <w:szCs w:val="16"/>
              </w:rPr>
              <w:t xml:space="preserve">Indicator </w:t>
            </w:r>
            <w:r w:rsidR="00207809" w:rsidRPr="003F2C03">
              <w:rPr>
                <w:b/>
                <w:sz w:val="16"/>
                <w:szCs w:val="16"/>
              </w:rPr>
              <w:t>4</w:t>
            </w:r>
            <w:r w:rsidRPr="003F2C03">
              <w:rPr>
                <w:b/>
                <w:sz w:val="16"/>
                <w:szCs w:val="16"/>
              </w:rPr>
              <w:t xml:space="preserve">: </w:t>
            </w:r>
            <w:r w:rsidR="00555A17" w:rsidRPr="00C601A1">
              <w:rPr>
                <w:b/>
                <w:sz w:val="16"/>
                <w:szCs w:val="16"/>
              </w:rPr>
              <w:t>N</w:t>
            </w:r>
            <w:r w:rsidRPr="00C601A1">
              <w:rPr>
                <w:b/>
                <w:sz w:val="16"/>
                <w:szCs w:val="16"/>
              </w:rPr>
              <w:t xml:space="preserve">umber of specific </w:t>
            </w:r>
            <w:r w:rsidR="00C601A1" w:rsidRPr="00C601A1">
              <w:rPr>
                <w:b/>
                <w:sz w:val="16"/>
                <w:szCs w:val="16"/>
              </w:rPr>
              <w:t>disaster risk reduction (</w:t>
            </w:r>
            <w:r w:rsidRPr="00C601A1">
              <w:rPr>
                <w:b/>
                <w:sz w:val="16"/>
                <w:szCs w:val="16"/>
              </w:rPr>
              <w:t>DRR</w:t>
            </w:r>
            <w:r w:rsidR="00C601A1" w:rsidRPr="00C601A1">
              <w:rPr>
                <w:b/>
                <w:sz w:val="16"/>
                <w:szCs w:val="16"/>
              </w:rPr>
              <w:t>)</w:t>
            </w:r>
            <w:r w:rsidRPr="00C601A1">
              <w:rPr>
                <w:b/>
                <w:sz w:val="16"/>
                <w:szCs w:val="16"/>
              </w:rPr>
              <w:t xml:space="preserve"> </w:t>
            </w:r>
            <w:r w:rsidR="00555A17" w:rsidRPr="00C601A1">
              <w:rPr>
                <w:b/>
                <w:sz w:val="16"/>
                <w:szCs w:val="16"/>
              </w:rPr>
              <w:t>a</w:t>
            </w:r>
            <w:r w:rsidRPr="00C601A1">
              <w:rPr>
                <w:b/>
                <w:sz w:val="16"/>
                <w:szCs w:val="16"/>
              </w:rPr>
              <w:t>ction</w:t>
            </w:r>
            <w:r w:rsidR="00555A17" w:rsidRPr="00C601A1">
              <w:rPr>
                <w:b/>
                <w:sz w:val="16"/>
                <w:szCs w:val="16"/>
              </w:rPr>
              <w:t xml:space="preserve"> p</w:t>
            </w:r>
            <w:r w:rsidRPr="00C601A1">
              <w:rPr>
                <w:b/>
                <w:sz w:val="16"/>
                <w:szCs w:val="16"/>
              </w:rPr>
              <w:t>lans developed, tested and</w:t>
            </w:r>
          </w:p>
          <w:p w14:paraId="16079759" w14:textId="77777777" w:rsidR="002C2321" w:rsidRPr="00C601A1" w:rsidRDefault="002C2321" w:rsidP="002C2321">
            <w:pPr>
              <w:rPr>
                <w:b/>
                <w:sz w:val="16"/>
                <w:szCs w:val="16"/>
              </w:rPr>
            </w:pPr>
            <w:r w:rsidRPr="00C601A1">
              <w:rPr>
                <w:b/>
                <w:sz w:val="16"/>
                <w:szCs w:val="16"/>
              </w:rPr>
              <w:t>operationalized with involvement of all</w:t>
            </w:r>
          </w:p>
          <w:p w14:paraId="3C45FF09" w14:textId="77777777" w:rsidR="002C2321" w:rsidRPr="00C601A1" w:rsidRDefault="002C2321" w:rsidP="002C2321">
            <w:pPr>
              <w:rPr>
                <w:b/>
                <w:sz w:val="16"/>
                <w:szCs w:val="16"/>
              </w:rPr>
            </w:pPr>
            <w:r w:rsidRPr="00C601A1">
              <w:rPr>
                <w:b/>
                <w:sz w:val="16"/>
                <w:szCs w:val="16"/>
              </w:rPr>
              <w:t>actors and beneficiaries for specific</w:t>
            </w:r>
          </w:p>
          <w:p w14:paraId="6B3F129C" w14:textId="281C7382" w:rsidR="002C2321" w:rsidRPr="00C601A1" w:rsidRDefault="002C2321" w:rsidP="002C2321">
            <w:pPr>
              <w:rPr>
                <w:b/>
                <w:sz w:val="16"/>
                <w:szCs w:val="16"/>
              </w:rPr>
            </w:pPr>
            <w:r w:rsidRPr="00C601A1">
              <w:rPr>
                <w:b/>
                <w:sz w:val="16"/>
                <w:szCs w:val="16"/>
              </w:rPr>
              <w:t>sectors</w:t>
            </w:r>
            <w:r w:rsidR="00555A17" w:rsidRPr="00C601A1">
              <w:rPr>
                <w:b/>
                <w:sz w:val="16"/>
                <w:szCs w:val="16"/>
              </w:rPr>
              <w:t xml:space="preserve"> and</w:t>
            </w:r>
            <w:r w:rsidRPr="00C601A1">
              <w:rPr>
                <w:b/>
                <w:sz w:val="16"/>
                <w:szCs w:val="16"/>
              </w:rPr>
              <w:t xml:space="preserve"> institutions, for localities and</w:t>
            </w:r>
            <w:r w:rsidR="00555A17" w:rsidRPr="00C601A1">
              <w:rPr>
                <w:b/>
                <w:sz w:val="16"/>
                <w:szCs w:val="16"/>
              </w:rPr>
              <w:t xml:space="preserve"> </w:t>
            </w:r>
            <w:r w:rsidRPr="00C601A1">
              <w:rPr>
                <w:b/>
                <w:sz w:val="16"/>
                <w:szCs w:val="16"/>
              </w:rPr>
              <w:t>sites tracing the effects of disasters on</w:t>
            </w:r>
            <w:r w:rsidR="00555A17" w:rsidRPr="00C601A1">
              <w:rPr>
                <w:b/>
                <w:sz w:val="16"/>
                <w:szCs w:val="16"/>
              </w:rPr>
              <w:t xml:space="preserve"> </w:t>
            </w:r>
            <w:r w:rsidRPr="00C601A1">
              <w:rPr>
                <w:b/>
                <w:sz w:val="16"/>
                <w:szCs w:val="16"/>
              </w:rPr>
              <w:t>women, children and particular</w:t>
            </w:r>
          </w:p>
          <w:p w14:paraId="6DB9D7D7" w14:textId="77777777" w:rsidR="002C2321" w:rsidRPr="00C601A1" w:rsidRDefault="002C2321" w:rsidP="002C2321">
            <w:pPr>
              <w:rPr>
                <w:b/>
                <w:sz w:val="16"/>
                <w:szCs w:val="16"/>
              </w:rPr>
            </w:pPr>
            <w:r w:rsidRPr="00C601A1">
              <w:rPr>
                <w:b/>
                <w:sz w:val="16"/>
                <w:szCs w:val="16"/>
              </w:rPr>
              <w:t>vulnerable groups</w:t>
            </w:r>
          </w:p>
          <w:p w14:paraId="0D9A45F9" w14:textId="77777777" w:rsidR="002C2321" w:rsidRPr="003F2C03" w:rsidRDefault="002C2321" w:rsidP="002C2321">
            <w:pPr>
              <w:rPr>
                <w:b/>
                <w:sz w:val="16"/>
                <w:szCs w:val="16"/>
              </w:rPr>
            </w:pPr>
          </w:p>
          <w:p w14:paraId="727B2677" w14:textId="77777777" w:rsidR="002C2321" w:rsidRPr="003F2C03" w:rsidRDefault="002C2321" w:rsidP="002C2321">
            <w:pPr>
              <w:rPr>
                <w:sz w:val="16"/>
                <w:szCs w:val="16"/>
              </w:rPr>
            </w:pPr>
            <w:r w:rsidRPr="00AA7688">
              <w:rPr>
                <w:b/>
                <w:sz w:val="16"/>
                <w:szCs w:val="16"/>
              </w:rPr>
              <w:t>Baseline (2015):</w:t>
            </w:r>
            <w:r w:rsidRPr="003F2C03">
              <w:rPr>
                <w:b/>
                <w:sz w:val="16"/>
                <w:szCs w:val="16"/>
              </w:rPr>
              <w:t xml:space="preserve"> </w:t>
            </w:r>
            <w:r w:rsidRPr="003F2C03">
              <w:rPr>
                <w:sz w:val="16"/>
                <w:szCs w:val="16"/>
              </w:rPr>
              <w:t xml:space="preserve">0 </w:t>
            </w:r>
          </w:p>
          <w:p w14:paraId="7E289226" w14:textId="797F883B" w:rsidR="002C2321" w:rsidRPr="003F2C03" w:rsidRDefault="002C2321" w:rsidP="002C2321">
            <w:pPr>
              <w:rPr>
                <w:b/>
                <w:sz w:val="16"/>
                <w:szCs w:val="16"/>
                <w:lang w:eastAsia="uz-Cyrl-UZ"/>
              </w:rPr>
            </w:pPr>
            <w:r w:rsidRPr="00AA7688">
              <w:rPr>
                <w:b/>
                <w:sz w:val="16"/>
                <w:szCs w:val="16"/>
              </w:rPr>
              <w:t>Target (2021):</w:t>
            </w:r>
            <w:r w:rsidRPr="003F2C03">
              <w:rPr>
                <w:b/>
                <w:sz w:val="16"/>
                <w:szCs w:val="16"/>
              </w:rPr>
              <w:t xml:space="preserve"> </w:t>
            </w:r>
            <w:r w:rsidRPr="003F2C03">
              <w:rPr>
                <w:sz w:val="16"/>
                <w:szCs w:val="16"/>
              </w:rPr>
              <w:t>4</w:t>
            </w:r>
          </w:p>
        </w:tc>
        <w:tc>
          <w:tcPr>
            <w:tcW w:w="705" w:type="pct"/>
            <w:shd w:val="clear" w:color="auto" w:fill="auto"/>
            <w:vAlign w:val="center"/>
          </w:tcPr>
          <w:p w14:paraId="757BABAB" w14:textId="33ADABCB" w:rsidR="002C2321" w:rsidRPr="003F2C03" w:rsidRDefault="002C2321" w:rsidP="002C2321">
            <w:pPr>
              <w:rPr>
                <w:i/>
                <w:iCs/>
                <w:color w:val="000000"/>
                <w:sz w:val="16"/>
                <w:szCs w:val="16"/>
                <w:lang w:val="en-GB"/>
              </w:rPr>
            </w:pPr>
            <w:r w:rsidRPr="003F2C03">
              <w:rPr>
                <w:sz w:val="16"/>
                <w:szCs w:val="16"/>
              </w:rPr>
              <w:t>Desk review, Ministry of Interior</w:t>
            </w:r>
          </w:p>
        </w:tc>
        <w:tc>
          <w:tcPr>
            <w:tcW w:w="1624" w:type="pct"/>
            <w:tcMar>
              <w:top w:w="72" w:type="dxa"/>
              <w:left w:w="144" w:type="dxa"/>
              <w:bottom w:w="72" w:type="dxa"/>
              <w:right w:w="144" w:type="dxa"/>
            </w:tcMar>
          </w:tcPr>
          <w:p w14:paraId="41DF6C44" w14:textId="2C72E068" w:rsidR="002C2321" w:rsidRPr="003F2C03" w:rsidRDefault="002C2321" w:rsidP="002C2321">
            <w:pPr>
              <w:rPr>
                <w:sz w:val="16"/>
                <w:szCs w:val="16"/>
              </w:rPr>
            </w:pPr>
            <w:r w:rsidRPr="003F2C03">
              <w:rPr>
                <w:b/>
                <w:sz w:val="16"/>
                <w:szCs w:val="16"/>
              </w:rPr>
              <w:t>Output 2.</w:t>
            </w:r>
            <w:r w:rsidR="00207809" w:rsidRPr="003F2C03">
              <w:rPr>
                <w:b/>
                <w:sz w:val="16"/>
                <w:szCs w:val="16"/>
              </w:rPr>
              <w:t>4</w:t>
            </w:r>
            <w:r w:rsidRPr="003F2C03">
              <w:rPr>
                <w:b/>
                <w:sz w:val="16"/>
                <w:szCs w:val="16"/>
              </w:rPr>
              <w:t>.1</w:t>
            </w:r>
            <w:r w:rsidR="00555A17">
              <w:rPr>
                <w:b/>
                <w:sz w:val="16"/>
                <w:szCs w:val="16"/>
              </w:rPr>
              <w:t>:</w:t>
            </w:r>
            <w:r w:rsidRPr="003F2C03">
              <w:rPr>
                <w:b/>
                <w:sz w:val="16"/>
                <w:szCs w:val="16"/>
              </w:rPr>
              <w:t xml:space="preserve"> </w:t>
            </w:r>
            <w:r w:rsidRPr="003F2C03">
              <w:rPr>
                <w:sz w:val="16"/>
                <w:szCs w:val="16"/>
              </w:rPr>
              <w:t>Capacities for resilience to disasters  increased</w:t>
            </w:r>
          </w:p>
          <w:p w14:paraId="334937EF" w14:textId="6687FD0B" w:rsidR="002C2321" w:rsidRPr="003F2C03" w:rsidRDefault="002C2321" w:rsidP="002C2321">
            <w:pPr>
              <w:rPr>
                <w:sz w:val="16"/>
                <w:szCs w:val="16"/>
              </w:rPr>
            </w:pPr>
            <w:r w:rsidRPr="003F2C03">
              <w:rPr>
                <w:b/>
                <w:sz w:val="16"/>
                <w:szCs w:val="16"/>
              </w:rPr>
              <w:t>Indicator 2.</w:t>
            </w:r>
            <w:r w:rsidR="00207809" w:rsidRPr="003F2C03">
              <w:rPr>
                <w:b/>
                <w:sz w:val="16"/>
                <w:szCs w:val="16"/>
              </w:rPr>
              <w:t>4</w:t>
            </w:r>
            <w:r w:rsidRPr="003F2C03">
              <w:rPr>
                <w:b/>
                <w:sz w:val="16"/>
                <w:szCs w:val="16"/>
              </w:rPr>
              <w:t>.1</w:t>
            </w:r>
            <w:r w:rsidR="00555A17">
              <w:rPr>
                <w:b/>
                <w:sz w:val="16"/>
                <w:szCs w:val="16"/>
              </w:rPr>
              <w:t>:</w:t>
            </w:r>
            <w:r w:rsidRPr="003F2C03">
              <w:rPr>
                <w:b/>
                <w:sz w:val="16"/>
                <w:szCs w:val="16"/>
              </w:rPr>
              <w:t xml:space="preserve"> </w:t>
            </w:r>
            <w:r w:rsidRPr="003F2C03">
              <w:rPr>
                <w:sz w:val="16"/>
                <w:szCs w:val="16"/>
              </w:rPr>
              <w:t>Number of</w:t>
            </w:r>
            <w:r w:rsidR="005330F9" w:rsidRPr="003F2C03">
              <w:rPr>
                <w:sz w:val="16"/>
                <w:szCs w:val="16"/>
              </w:rPr>
              <w:t xml:space="preserve"> </w:t>
            </w:r>
            <w:r w:rsidRPr="003F2C03">
              <w:rPr>
                <w:sz w:val="16"/>
                <w:szCs w:val="16"/>
              </w:rPr>
              <w:t xml:space="preserve">management plans </w:t>
            </w:r>
            <w:r w:rsidR="005330F9" w:rsidRPr="003F2C03">
              <w:rPr>
                <w:sz w:val="16"/>
                <w:szCs w:val="16"/>
              </w:rPr>
              <w:t xml:space="preserve">with DRR principles </w:t>
            </w:r>
            <w:r w:rsidRPr="003F2C03">
              <w:rPr>
                <w:sz w:val="16"/>
                <w:szCs w:val="16"/>
              </w:rPr>
              <w:t>adopted and integrated into budgets</w:t>
            </w:r>
            <w:r w:rsidR="00555A17">
              <w:rPr>
                <w:sz w:val="16"/>
                <w:szCs w:val="16"/>
              </w:rPr>
              <w:t>,</w:t>
            </w:r>
            <w:r w:rsidRPr="003F2C03">
              <w:rPr>
                <w:sz w:val="16"/>
                <w:szCs w:val="16"/>
              </w:rPr>
              <w:t xml:space="preserve"> policies and plans</w:t>
            </w:r>
          </w:p>
          <w:p w14:paraId="1AF38D64" w14:textId="0A037F64" w:rsidR="002C2321" w:rsidRPr="003F2C03" w:rsidRDefault="002C2321" w:rsidP="002C2321">
            <w:pPr>
              <w:rPr>
                <w:sz w:val="16"/>
                <w:szCs w:val="16"/>
              </w:rPr>
            </w:pPr>
            <w:r w:rsidRPr="003F2C03">
              <w:rPr>
                <w:b/>
                <w:sz w:val="16"/>
                <w:szCs w:val="16"/>
              </w:rPr>
              <w:t>Baseline</w:t>
            </w:r>
            <w:r w:rsidR="00555A17">
              <w:rPr>
                <w:b/>
                <w:sz w:val="16"/>
                <w:szCs w:val="16"/>
              </w:rPr>
              <w:t xml:space="preserve"> </w:t>
            </w:r>
            <w:r w:rsidR="00555A17" w:rsidRPr="00AA7688">
              <w:rPr>
                <w:sz w:val="16"/>
                <w:szCs w:val="16"/>
              </w:rPr>
              <w:t>(2015)</w:t>
            </w:r>
            <w:r w:rsidRPr="00555A17">
              <w:rPr>
                <w:sz w:val="16"/>
                <w:szCs w:val="16"/>
              </w:rPr>
              <w:t xml:space="preserve">: </w:t>
            </w:r>
            <w:r w:rsidRPr="003F2C03">
              <w:rPr>
                <w:sz w:val="16"/>
                <w:szCs w:val="16"/>
              </w:rPr>
              <w:t xml:space="preserve">0 </w:t>
            </w:r>
          </w:p>
          <w:p w14:paraId="0C83E656" w14:textId="433AE47D" w:rsidR="002C2321" w:rsidRPr="003F2C03" w:rsidRDefault="002C2321" w:rsidP="002C2321">
            <w:pPr>
              <w:rPr>
                <w:b/>
                <w:sz w:val="16"/>
                <w:szCs w:val="16"/>
              </w:rPr>
            </w:pPr>
            <w:r w:rsidRPr="003F2C03">
              <w:rPr>
                <w:b/>
                <w:sz w:val="16"/>
                <w:szCs w:val="16"/>
              </w:rPr>
              <w:t>Target</w:t>
            </w:r>
            <w:r w:rsidR="00555A17">
              <w:rPr>
                <w:b/>
                <w:sz w:val="16"/>
                <w:szCs w:val="16"/>
              </w:rPr>
              <w:t xml:space="preserve"> </w:t>
            </w:r>
            <w:r w:rsidR="00555A17" w:rsidRPr="00AA7688">
              <w:rPr>
                <w:sz w:val="16"/>
                <w:szCs w:val="16"/>
              </w:rPr>
              <w:t>(2021)</w:t>
            </w:r>
            <w:r w:rsidRPr="00AA7688">
              <w:rPr>
                <w:sz w:val="16"/>
                <w:szCs w:val="16"/>
              </w:rPr>
              <w:t>:</w:t>
            </w:r>
            <w:r w:rsidRPr="003F2C03">
              <w:rPr>
                <w:b/>
                <w:sz w:val="16"/>
                <w:szCs w:val="16"/>
              </w:rPr>
              <w:t xml:space="preserve"> </w:t>
            </w:r>
            <w:r w:rsidRPr="003F2C03">
              <w:rPr>
                <w:sz w:val="16"/>
                <w:szCs w:val="16"/>
              </w:rPr>
              <w:t xml:space="preserve">3 </w:t>
            </w:r>
          </w:p>
          <w:p w14:paraId="3B281CC7" w14:textId="77777777" w:rsidR="002C2321" w:rsidRPr="003F2C03" w:rsidRDefault="002C2321" w:rsidP="002C2321">
            <w:pPr>
              <w:rPr>
                <w:b/>
                <w:sz w:val="16"/>
                <w:szCs w:val="16"/>
              </w:rPr>
            </w:pPr>
          </w:p>
          <w:p w14:paraId="0CE4C63A" w14:textId="455C5BFD" w:rsidR="002C2321" w:rsidRPr="003F2C03" w:rsidRDefault="002C2321" w:rsidP="002C2321">
            <w:pPr>
              <w:rPr>
                <w:b/>
                <w:sz w:val="16"/>
                <w:szCs w:val="16"/>
              </w:rPr>
            </w:pPr>
            <w:r w:rsidRPr="003F2C03">
              <w:rPr>
                <w:b/>
                <w:sz w:val="16"/>
                <w:szCs w:val="16"/>
              </w:rPr>
              <w:t>Indicator 2</w:t>
            </w:r>
            <w:r w:rsidRPr="00AA7688">
              <w:rPr>
                <w:b/>
                <w:sz w:val="16"/>
                <w:szCs w:val="16"/>
              </w:rPr>
              <w:t>.</w:t>
            </w:r>
            <w:r w:rsidR="00207809" w:rsidRPr="00AA7688">
              <w:rPr>
                <w:b/>
                <w:sz w:val="16"/>
                <w:szCs w:val="16"/>
              </w:rPr>
              <w:t>4</w:t>
            </w:r>
            <w:r w:rsidRPr="00AA7688">
              <w:rPr>
                <w:b/>
                <w:sz w:val="16"/>
                <w:szCs w:val="16"/>
              </w:rPr>
              <w:t>.2</w:t>
            </w:r>
            <w:r w:rsidR="00555A17" w:rsidRPr="00AA7688">
              <w:rPr>
                <w:b/>
                <w:sz w:val="16"/>
                <w:szCs w:val="16"/>
              </w:rPr>
              <w:t>:</w:t>
            </w:r>
            <w:r w:rsidRPr="003F2C03">
              <w:rPr>
                <w:sz w:val="16"/>
                <w:szCs w:val="16"/>
              </w:rPr>
              <w:t xml:space="preserve"> Municipal level DRR connectivity model developed and operati</w:t>
            </w:r>
            <w:r w:rsidR="005330F9" w:rsidRPr="003F2C03">
              <w:rPr>
                <w:sz w:val="16"/>
                <w:szCs w:val="16"/>
              </w:rPr>
              <w:t>ng</w:t>
            </w:r>
            <w:r w:rsidRPr="003F2C03">
              <w:rPr>
                <w:b/>
                <w:sz w:val="16"/>
                <w:szCs w:val="16"/>
              </w:rPr>
              <w:t xml:space="preserve"> </w:t>
            </w:r>
          </w:p>
          <w:p w14:paraId="3F9560EF" w14:textId="0341C4D1" w:rsidR="002C2321" w:rsidRPr="003F2C03" w:rsidRDefault="002C2321" w:rsidP="002C2321">
            <w:pPr>
              <w:rPr>
                <w:sz w:val="16"/>
                <w:szCs w:val="16"/>
              </w:rPr>
            </w:pPr>
            <w:r w:rsidRPr="003F2C03">
              <w:rPr>
                <w:b/>
                <w:sz w:val="16"/>
                <w:szCs w:val="16"/>
              </w:rPr>
              <w:t>Baseline</w:t>
            </w:r>
            <w:r w:rsidR="00555A17">
              <w:rPr>
                <w:b/>
                <w:sz w:val="16"/>
                <w:szCs w:val="16"/>
              </w:rPr>
              <w:t xml:space="preserve"> </w:t>
            </w:r>
            <w:r w:rsidR="00555A17" w:rsidRPr="00AA7688">
              <w:rPr>
                <w:sz w:val="16"/>
                <w:szCs w:val="16"/>
              </w:rPr>
              <w:t>(2015)</w:t>
            </w:r>
            <w:r w:rsidRPr="00555A17">
              <w:rPr>
                <w:sz w:val="16"/>
                <w:szCs w:val="16"/>
              </w:rPr>
              <w:t>:</w:t>
            </w:r>
            <w:r w:rsidRPr="003F2C03">
              <w:rPr>
                <w:sz w:val="16"/>
                <w:szCs w:val="16"/>
              </w:rPr>
              <w:t xml:space="preserve"> 0 </w:t>
            </w:r>
          </w:p>
          <w:p w14:paraId="60B47DB3" w14:textId="0D28397B" w:rsidR="002C2321" w:rsidRPr="003F2C03" w:rsidRDefault="002C2321" w:rsidP="002C2321">
            <w:pPr>
              <w:rPr>
                <w:b/>
                <w:sz w:val="16"/>
                <w:szCs w:val="16"/>
              </w:rPr>
            </w:pPr>
            <w:r w:rsidRPr="003F2C03">
              <w:rPr>
                <w:b/>
                <w:sz w:val="16"/>
                <w:szCs w:val="16"/>
              </w:rPr>
              <w:t xml:space="preserve">Target </w:t>
            </w:r>
            <w:r w:rsidR="00555A17" w:rsidRPr="00AA7688">
              <w:rPr>
                <w:sz w:val="16"/>
                <w:szCs w:val="16"/>
              </w:rPr>
              <w:t>(2021)</w:t>
            </w:r>
            <w:r w:rsidRPr="00AA7688">
              <w:rPr>
                <w:sz w:val="16"/>
                <w:szCs w:val="16"/>
              </w:rPr>
              <w:t>:</w:t>
            </w:r>
            <w:r w:rsidRPr="003F2C03">
              <w:rPr>
                <w:b/>
                <w:sz w:val="16"/>
                <w:szCs w:val="16"/>
              </w:rPr>
              <w:t xml:space="preserve"> </w:t>
            </w:r>
            <w:r w:rsidRPr="003F2C03">
              <w:rPr>
                <w:sz w:val="16"/>
                <w:szCs w:val="16"/>
              </w:rPr>
              <w:t xml:space="preserve">1 </w:t>
            </w:r>
          </w:p>
          <w:p w14:paraId="0D4A01A2" w14:textId="5B31D5F6" w:rsidR="002C2321" w:rsidRPr="003F2C03" w:rsidRDefault="002C2321" w:rsidP="002C2321">
            <w:pPr>
              <w:rPr>
                <w:iCs/>
                <w:color w:val="000000"/>
                <w:sz w:val="16"/>
                <w:szCs w:val="16"/>
                <w:lang w:val="en-GB"/>
              </w:rPr>
            </w:pPr>
            <w:r w:rsidRPr="003F2C03">
              <w:rPr>
                <w:b/>
                <w:sz w:val="16"/>
                <w:szCs w:val="16"/>
              </w:rPr>
              <w:t xml:space="preserve">Means of verification: </w:t>
            </w:r>
            <w:r w:rsidRPr="003F2C03">
              <w:rPr>
                <w:sz w:val="16"/>
                <w:szCs w:val="16"/>
              </w:rPr>
              <w:t xml:space="preserve">Ministry of Interior </w:t>
            </w:r>
            <w:r w:rsidR="00555A17">
              <w:rPr>
                <w:sz w:val="16"/>
                <w:szCs w:val="16"/>
              </w:rPr>
              <w:t>r</w:t>
            </w:r>
            <w:r w:rsidRPr="003F2C03">
              <w:rPr>
                <w:sz w:val="16"/>
                <w:szCs w:val="16"/>
              </w:rPr>
              <w:t>eports</w:t>
            </w:r>
          </w:p>
        </w:tc>
        <w:tc>
          <w:tcPr>
            <w:tcW w:w="705" w:type="pct"/>
            <w:gridSpan w:val="2"/>
          </w:tcPr>
          <w:p w14:paraId="6B2D5454" w14:textId="03E93CC9" w:rsidR="002C2321" w:rsidRPr="00A71FFA" w:rsidRDefault="002C2321" w:rsidP="00DB1024">
            <w:pPr>
              <w:rPr>
                <w:iCs/>
                <w:color w:val="000000"/>
                <w:sz w:val="16"/>
                <w:szCs w:val="16"/>
                <w:lang w:val="en-GB"/>
              </w:rPr>
            </w:pPr>
            <w:r w:rsidRPr="00A71FFA">
              <w:rPr>
                <w:iCs/>
                <w:color w:val="000000"/>
                <w:sz w:val="16"/>
                <w:szCs w:val="16"/>
                <w:lang w:val="en-GB"/>
              </w:rPr>
              <w:t xml:space="preserve">Ministry for Sustainable Development and Tourism, Centre for Eco Toxicological Research,  </w:t>
            </w:r>
            <w:r w:rsidR="00DB1024">
              <w:rPr>
                <w:iCs/>
                <w:color w:val="000000"/>
                <w:sz w:val="16"/>
                <w:szCs w:val="16"/>
                <w:lang w:val="en-GB"/>
              </w:rPr>
              <w:t>e</w:t>
            </w:r>
            <w:r w:rsidRPr="00A71FFA">
              <w:rPr>
                <w:iCs/>
                <w:color w:val="000000"/>
                <w:sz w:val="16"/>
                <w:szCs w:val="16"/>
                <w:lang w:val="en-GB"/>
              </w:rPr>
              <w:t xml:space="preserve">lectricity </w:t>
            </w:r>
            <w:r w:rsidR="00DB1024">
              <w:rPr>
                <w:iCs/>
                <w:color w:val="000000"/>
                <w:sz w:val="16"/>
                <w:szCs w:val="16"/>
                <w:lang w:val="en-GB"/>
              </w:rPr>
              <w:t>c</w:t>
            </w:r>
            <w:r w:rsidRPr="00A71FFA">
              <w:rPr>
                <w:iCs/>
                <w:color w:val="000000"/>
                <w:sz w:val="16"/>
                <w:szCs w:val="16"/>
                <w:lang w:val="en-GB"/>
              </w:rPr>
              <w:t xml:space="preserve">ompany  </w:t>
            </w:r>
            <w:r w:rsidR="00DB1024">
              <w:rPr>
                <w:iCs/>
                <w:color w:val="000000"/>
                <w:sz w:val="16"/>
                <w:szCs w:val="16"/>
                <w:lang w:val="en-GB"/>
              </w:rPr>
              <w:t>a</w:t>
            </w:r>
            <w:r w:rsidRPr="00A71FFA">
              <w:rPr>
                <w:iCs/>
                <w:color w:val="000000"/>
                <w:sz w:val="16"/>
                <w:szCs w:val="16"/>
                <w:lang w:val="en-GB"/>
              </w:rPr>
              <w:t>luminium Plant</w:t>
            </w:r>
            <w:r w:rsidR="00DB1024">
              <w:rPr>
                <w:iCs/>
                <w:color w:val="000000"/>
                <w:sz w:val="16"/>
                <w:szCs w:val="16"/>
                <w:lang w:val="en-GB"/>
              </w:rPr>
              <w:t>,</w:t>
            </w:r>
            <w:r w:rsidRPr="00A71FFA">
              <w:rPr>
                <w:iCs/>
                <w:color w:val="000000"/>
                <w:sz w:val="16"/>
                <w:szCs w:val="16"/>
                <w:lang w:val="en-GB"/>
              </w:rPr>
              <w:t xml:space="preserve"> Environmental Protection Agency, business sector, academia</w:t>
            </w:r>
          </w:p>
        </w:tc>
        <w:tc>
          <w:tcPr>
            <w:tcW w:w="831" w:type="pct"/>
            <w:gridSpan w:val="2"/>
            <w:vMerge/>
            <w:tcMar>
              <w:top w:w="15" w:type="dxa"/>
              <w:left w:w="108" w:type="dxa"/>
              <w:bottom w:w="0" w:type="dxa"/>
              <w:right w:w="108" w:type="dxa"/>
            </w:tcMar>
          </w:tcPr>
          <w:p w14:paraId="4509085C" w14:textId="6E6A4FC5" w:rsidR="002C2321" w:rsidRPr="003F2C03" w:rsidRDefault="002C2321" w:rsidP="002C2321">
            <w:pPr>
              <w:rPr>
                <w:b/>
                <w:color w:val="000000"/>
                <w:sz w:val="16"/>
                <w:szCs w:val="16"/>
              </w:rPr>
            </w:pPr>
          </w:p>
        </w:tc>
      </w:tr>
      <w:tr w:rsidR="002C2321" w:rsidRPr="003F2C03" w14:paraId="6734905F" w14:textId="77777777" w:rsidTr="00B83412">
        <w:tc>
          <w:tcPr>
            <w:tcW w:w="1135" w:type="pct"/>
            <w:tcBorders>
              <w:bottom w:val="single" w:sz="4" w:space="0" w:color="auto"/>
            </w:tcBorders>
            <w:tcMar>
              <w:top w:w="72" w:type="dxa"/>
              <w:left w:w="144" w:type="dxa"/>
              <w:bottom w:w="72" w:type="dxa"/>
              <w:right w:w="144" w:type="dxa"/>
            </w:tcMar>
            <w:vAlign w:val="center"/>
          </w:tcPr>
          <w:p w14:paraId="409EC7DF" w14:textId="25CDA0BF" w:rsidR="002C2321" w:rsidRPr="00C601A1" w:rsidRDefault="002C2321" w:rsidP="002C2321">
            <w:pPr>
              <w:rPr>
                <w:b/>
                <w:sz w:val="16"/>
                <w:szCs w:val="16"/>
              </w:rPr>
            </w:pPr>
            <w:r w:rsidRPr="003F2C03">
              <w:rPr>
                <w:b/>
                <w:sz w:val="16"/>
                <w:szCs w:val="16"/>
              </w:rPr>
              <w:lastRenderedPageBreak/>
              <w:t xml:space="preserve">Indicator 5: </w:t>
            </w:r>
            <w:r w:rsidRPr="00C601A1">
              <w:rPr>
                <w:b/>
                <w:sz w:val="16"/>
                <w:szCs w:val="16"/>
              </w:rPr>
              <w:t>Number  of newly created ecological networks</w:t>
            </w:r>
          </w:p>
          <w:p w14:paraId="2666934D" w14:textId="77777777" w:rsidR="002C2321" w:rsidRPr="003F2C03" w:rsidRDefault="002C2321" w:rsidP="002C2321">
            <w:pPr>
              <w:rPr>
                <w:sz w:val="16"/>
                <w:szCs w:val="16"/>
                <w:u w:val="single"/>
              </w:rPr>
            </w:pPr>
          </w:p>
          <w:p w14:paraId="482DA9EB" w14:textId="19E0F0BA" w:rsidR="002C2321" w:rsidRPr="003F2C03" w:rsidRDefault="002C2321" w:rsidP="002C2321">
            <w:pPr>
              <w:rPr>
                <w:sz w:val="16"/>
                <w:szCs w:val="16"/>
              </w:rPr>
            </w:pPr>
            <w:r w:rsidRPr="00AA7688">
              <w:rPr>
                <w:b/>
                <w:sz w:val="16"/>
                <w:szCs w:val="16"/>
              </w:rPr>
              <w:t>Baseline (2015):</w:t>
            </w:r>
            <w:r w:rsidRPr="003F2C03">
              <w:rPr>
                <w:sz w:val="16"/>
                <w:szCs w:val="16"/>
              </w:rPr>
              <w:t xml:space="preserve"> 0 </w:t>
            </w:r>
          </w:p>
          <w:p w14:paraId="1ADC7803" w14:textId="45A94D77" w:rsidR="002C2321" w:rsidRPr="003F2C03" w:rsidRDefault="002C2321" w:rsidP="002C2321">
            <w:pPr>
              <w:rPr>
                <w:b/>
                <w:sz w:val="16"/>
                <w:szCs w:val="16"/>
                <w:lang w:eastAsia="uz-Cyrl-UZ"/>
              </w:rPr>
            </w:pPr>
            <w:r w:rsidRPr="00AA7688">
              <w:rPr>
                <w:b/>
                <w:sz w:val="16"/>
                <w:szCs w:val="16"/>
              </w:rPr>
              <w:t>Target (2021):</w:t>
            </w:r>
            <w:r w:rsidRPr="003F2C03">
              <w:rPr>
                <w:sz w:val="16"/>
                <w:szCs w:val="16"/>
              </w:rPr>
              <w:t xml:space="preserve"> 2  </w:t>
            </w:r>
          </w:p>
        </w:tc>
        <w:tc>
          <w:tcPr>
            <w:tcW w:w="705" w:type="pct"/>
            <w:tcBorders>
              <w:bottom w:val="single" w:sz="4" w:space="0" w:color="auto"/>
            </w:tcBorders>
            <w:shd w:val="clear" w:color="auto" w:fill="auto"/>
            <w:vAlign w:val="bottom"/>
          </w:tcPr>
          <w:p w14:paraId="16F4C430" w14:textId="77777777" w:rsidR="002C2321" w:rsidRPr="003F2C03" w:rsidRDefault="002C2321" w:rsidP="002C2321">
            <w:pPr>
              <w:rPr>
                <w:sz w:val="16"/>
                <w:szCs w:val="16"/>
                <w:lang w:eastAsia="uz-Cyrl-UZ"/>
              </w:rPr>
            </w:pPr>
            <w:r w:rsidRPr="003F2C03">
              <w:rPr>
                <w:sz w:val="16"/>
                <w:szCs w:val="16"/>
                <w:lang w:eastAsia="uz-Cyrl-UZ"/>
              </w:rPr>
              <w:t>National register of protected areas</w:t>
            </w:r>
          </w:p>
          <w:p w14:paraId="471728A6" w14:textId="77777777" w:rsidR="002C2321" w:rsidRPr="003F2C03" w:rsidRDefault="002C2321" w:rsidP="002C2321">
            <w:pPr>
              <w:rPr>
                <w:sz w:val="16"/>
                <w:szCs w:val="16"/>
                <w:lang w:eastAsia="uz-Cyrl-UZ"/>
              </w:rPr>
            </w:pPr>
          </w:p>
          <w:p w14:paraId="5E7F3F85" w14:textId="77777777" w:rsidR="002C2321" w:rsidRPr="003F2C03" w:rsidRDefault="002C2321" w:rsidP="002C2321">
            <w:pPr>
              <w:rPr>
                <w:sz w:val="16"/>
                <w:szCs w:val="16"/>
                <w:lang w:eastAsia="uz-Cyrl-UZ"/>
              </w:rPr>
            </w:pPr>
          </w:p>
          <w:p w14:paraId="52B4BBA4" w14:textId="77777777" w:rsidR="002C2321" w:rsidRPr="003F2C03" w:rsidRDefault="002C2321" w:rsidP="002C2321">
            <w:pPr>
              <w:rPr>
                <w:i/>
                <w:iCs/>
                <w:color w:val="000000"/>
                <w:sz w:val="16"/>
                <w:szCs w:val="16"/>
                <w:lang w:val="en-GB"/>
              </w:rPr>
            </w:pPr>
          </w:p>
        </w:tc>
        <w:tc>
          <w:tcPr>
            <w:tcW w:w="1624" w:type="pct"/>
            <w:tcBorders>
              <w:bottom w:val="single" w:sz="4" w:space="0" w:color="auto"/>
            </w:tcBorders>
            <w:tcMar>
              <w:top w:w="72" w:type="dxa"/>
              <w:left w:w="144" w:type="dxa"/>
              <w:bottom w:w="72" w:type="dxa"/>
              <w:right w:w="144" w:type="dxa"/>
            </w:tcMar>
          </w:tcPr>
          <w:p w14:paraId="7A8F52C0" w14:textId="5C9C7BED" w:rsidR="002C2321" w:rsidRPr="003F2C03" w:rsidRDefault="002C2321" w:rsidP="002C2321">
            <w:pPr>
              <w:rPr>
                <w:iCs/>
                <w:color w:val="000000"/>
                <w:sz w:val="16"/>
                <w:szCs w:val="16"/>
                <w:lang w:val="en-GB"/>
              </w:rPr>
            </w:pPr>
            <w:r w:rsidRPr="003F2C03">
              <w:rPr>
                <w:b/>
                <w:iCs/>
                <w:color w:val="000000"/>
                <w:sz w:val="16"/>
                <w:szCs w:val="16"/>
                <w:lang w:val="en-GB"/>
              </w:rPr>
              <w:t>Output  2.</w:t>
            </w:r>
            <w:r w:rsidR="00207809" w:rsidRPr="003F2C03">
              <w:rPr>
                <w:b/>
                <w:iCs/>
                <w:color w:val="000000"/>
                <w:sz w:val="16"/>
                <w:szCs w:val="16"/>
                <w:lang w:val="en-GB"/>
              </w:rPr>
              <w:t>5</w:t>
            </w:r>
            <w:r w:rsidRPr="003F2C03">
              <w:rPr>
                <w:b/>
                <w:iCs/>
                <w:color w:val="000000"/>
                <w:sz w:val="16"/>
                <w:szCs w:val="16"/>
                <w:lang w:val="en-GB"/>
              </w:rPr>
              <w:t>:</w:t>
            </w:r>
            <w:r w:rsidRPr="003F2C03">
              <w:rPr>
                <w:iCs/>
                <w:color w:val="000000"/>
                <w:sz w:val="16"/>
                <w:szCs w:val="16"/>
                <w:lang w:val="en-GB"/>
              </w:rPr>
              <w:t xml:space="preserve"> Improvement of sustainable management and conservation of mountain ecosystems, including their biodiversity</w:t>
            </w:r>
          </w:p>
          <w:p w14:paraId="60F8C010" w14:textId="7C2C9006" w:rsidR="002C2321" w:rsidRPr="003F2C03" w:rsidRDefault="002C2321" w:rsidP="002C2321">
            <w:pPr>
              <w:rPr>
                <w:iCs/>
                <w:color w:val="000000"/>
                <w:sz w:val="16"/>
                <w:szCs w:val="16"/>
                <w:lang w:val="en-GB"/>
              </w:rPr>
            </w:pPr>
            <w:r w:rsidRPr="003F2C03">
              <w:rPr>
                <w:b/>
                <w:iCs/>
                <w:color w:val="000000"/>
                <w:sz w:val="16"/>
                <w:szCs w:val="16"/>
                <w:lang w:val="en-GB"/>
              </w:rPr>
              <w:t>Indicator 2.</w:t>
            </w:r>
            <w:r w:rsidR="00207809" w:rsidRPr="003F2C03">
              <w:rPr>
                <w:b/>
                <w:iCs/>
                <w:color w:val="000000"/>
                <w:sz w:val="16"/>
                <w:szCs w:val="16"/>
                <w:lang w:val="en-GB"/>
              </w:rPr>
              <w:t>5</w:t>
            </w:r>
            <w:r w:rsidRPr="003F2C03">
              <w:rPr>
                <w:b/>
                <w:iCs/>
                <w:color w:val="000000"/>
                <w:sz w:val="16"/>
                <w:szCs w:val="16"/>
                <w:lang w:val="en-GB"/>
              </w:rPr>
              <w:t>.1</w:t>
            </w:r>
            <w:r w:rsidRPr="003F2C03">
              <w:rPr>
                <w:iCs/>
                <w:color w:val="000000"/>
                <w:sz w:val="16"/>
                <w:szCs w:val="16"/>
                <w:lang w:val="en-GB"/>
              </w:rPr>
              <w:t>: Number of hectares covered by new management system developed with UNDP support</w:t>
            </w:r>
          </w:p>
          <w:p w14:paraId="3FA7B258" w14:textId="7A4B2A4E" w:rsidR="002C2321" w:rsidRPr="003F2C03" w:rsidRDefault="002C2321" w:rsidP="002C2321">
            <w:pPr>
              <w:rPr>
                <w:b/>
                <w:sz w:val="16"/>
                <w:szCs w:val="16"/>
                <w:lang w:eastAsia="uz-Cyrl-UZ"/>
              </w:rPr>
            </w:pPr>
            <w:r w:rsidRPr="003F2C03">
              <w:rPr>
                <w:b/>
                <w:sz w:val="16"/>
                <w:szCs w:val="16"/>
                <w:lang w:eastAsia="uz-Cyrl-UZ"/>
              </w:rPr>
              <w:t>Baseline</w:t>
            </w:r>
            <w:r w:rsidR="00555A17">
              <w:rPr>
                <w:b/>
                <w:sz w:val="16"/>
                <w:szCs w:val="16"/>
                <w:lang w:eastAsia="uz-Cyrl-UZ"/>
              </w:rPr>
              <w:t xml:space="preserve"> </w:t>
            </w:r>
            <w:r w:rsidR="00555A17" w:rsidRPr="00AA7688">
              <w:rPr>
                <w:sz w:val="16"/>
                <w:szCs w:val="16"/>
                <w:lang w:eastAsia="uz-Cyrl-UZ"/>
              </w:rPr>
              <w:t>(2015)</w:t>
            </w:r>
            <w:r w:rsidRPr="00AA7688">
              <w:rPr>
                <w:sz w:val="16"/>
                <w:szCs w:val="16"/>
                <w:lang w:eastAsia="uz-Cyrl-UZ"/>
              </w:rPr>
              <w:t>:</w:t>
            </w:r>
            <w:r w:rsidRPr="003F2C03">
              <w:rPr>
                <w:b/>
                <w:sz w:val="16"/>
                <w:szCs w:val="16"/>
                <w:lang w:eastAsia="uz-Cyrl-UZ"/>
              </w:rPr>
              <w:t xml:space="preserve"> </w:t>
            </w:r>
            <w:r w:rsidRPr="003F2C03">
              <w:rPr>
                <w:sz w:val="16"/>
                <w:szCs w:val="16"/>
                <w:lang w:eastAsia="uz-Cyrl-UZ"/>
              </w:rPr>
              <w:t xml:space="preserve">0 </w:t>
            </w:r>
          </w:p>
          <w:p w14:paraId="1F71B156" w14:textId="30A2F22A" w:rsidR="002C2321" w:rsidRPr="003F2C03" w:rsidRDefault="002C2321" w:rsidP="002C2321">
            <w:pPr>
              <w:rPr>
                <w:sz w:val="16"/>
                <w:szCs w:val="16"/>
                <w:lang w:eastAsia="uz-Cyrl-UZ"/>
              </w:rPr>
            </w:pPr>
            <w:r w:rsidRPr="003F2C03">
              <w:rPr>
                <w:b/>
                <w:sz w:val="16"/>
                <w:szCs w:val="16"/>
                <w:lang w:eastAsia="uz-Cyrl-UZ"/>
              </w:rPr>
              <w:t>Target</w:t>
            </w:r>
            <w:r w:rsidR="00555A17">
              <w:rPr>
                <w:b/>
                <w:sz w:val="16"/>
                <w:szCs w:val="16"/>
                <w:lang w:eastAsia="uz-Cyrl-UZ"/>
              </w:rPr>
              <w:t xml:space="preserve"> </w:t>
            </w:r>
            <w:r w:rsidR="00555A17" w:rsidRPr="00AA7688">
              <w:rPr>
                <w:sz w:val="16"/>
                <w:szCs w:val="16"/>
                <w:lang w:eastAsia="uz-Cyrl-UZ"/>
              </w:rPr>
              <w:t>(2021)</w:t>
            </w:r>
            <w:r w:rsidRPr="00AA7688">
              <w:rPr>
                <w:sz w:val="16"/>
                <w:szCs w:val="16"/>
                <w:lang w:eastAsia="uz-Cyrl-UZ"/>
              </w:rPr>
              <w:t>:</w:t>
            </w:r>
            <w:r w:rsidRPr="003F2C03">
              <w:rPr>
                <w:b/>
                <w:sz w:val="16"/>
                <w:szCs w:val="16"/>
                <w:lang w:eastAsia="uz-Cyrl-UZ"/>
              </w:rPr>
              <w:t xml:space="preserve"> </w:t>
            </w:r>
            <w:r w:rsidRPr="003F2C03">
              <w:rPr>
                <w:sz w:val="16"/>
                <w:szCs w:val="16"/>
                <w:lang w:eastAsia="uz-Cyrl-UZ"/>
              </w:rPr>
              <w:t xml:space="preserve">30,000 ha </w:t>
            </w:r>
          </w:p>
          <w:p w14:paraId="67AD0223" w14:textId="77777777" w:rsidR="002C2321" w:rsidRPr="003F2C03" w:rsidRDefault="002C2321" w:rsidP="002C2321">
            <w:pPr>
              <w:rPr>
                <w:b/>
                <w:sz w:val="16"/>
                <w:szCs w:val="16"/>
                <w:lang w:eastAsia="uz-Cyrl-UZ"/>
              </w:rPr>
            </w:pPr>
          </w:p>
          <w:p w14:paraId="7337E702" w14:textId="76310A99" w:rsidR="002C2321" w:rsidRPr="003F2C03" w:rsidRDefault="002C2321" w:rsidP="002C2321">
            <w:pPr>
              <w:rPr>
                <w:sz w:val="16"/>
                <w:szCs w:val="16"/>
                <w:lang w:eastAsia="uz-Cyrl-UZ"/>
              </w:rPr>
            </w:pPr>
            <w:r w:rsidRPr="003F2C03">
              <w:rPr>
                <w:b/>
                <w:iCs/>
                <w:color w:val="000000"/>
                <w:sz w:val="16"/>
                <w:szCs w:val="16"/>
                <w:lang w:val="en-GB"/>
              </w:rPr>
              <w:t>Indicator 2.</w:t>
            </w:r>
            <w:r w:rsidR="00207809" w:rsidRPr="003F2C03">
              <w:rPr>
                <w:b/>
                <w:iCs/>
                <w:color w:val="000000"/>
                <w:sz w:val="16"/>
                <w:szCs w:val="16"/>
                <w:lang w:val="en-GB"/>
              </w:rPr>
              <w:t>5</w:t>
            </w:r>
            <w:r w:rsidRPr="003F2C03">
              <w:rPr>
                <w:b/>
                <w:iCs/>
                <w:color w:val="000000"/>
                <w:sz w:val="16"/>
                <w:szCs w:val="16"/>
                <w:lang w:val="en-GB"/>
              </w:rPr>
              <w:t>.2:</w:t>
            </w:r>
            <w:r w:rsidRPr="003F2C03">
              <w:rPr>
                <w:iCs/>
                <w:color w:val="000000"/>
                <w:sz w:val="16"/>
                <w:szCs w:val="16"/>
                <w:lang w:val="en-GB"/>
              </w:rPr>
              <w:t xml:space="preserve">  </w:t>
            </w:r>
            <w:r w:rsidRPr="003F2C03">
              <w:rPr>
                <w:sz w:val="16"/>
                <w:szCs w:val="16"/>
                <w:lang w:eastAsia="uz-Cyrl-UZ"/>
              </w:rPr>
              <w:t>Number of business plans for regional parks developed with UNDP support</w:t>
            </w:r>
          </w:p>
          <w:p w14:paraId="42A61FF4" w14:textId="52708B83" w:rsidR="002C2321" w:rsidRPr="003F2C03" w:rsidRDefault="002C2321" w:rsidP="002C2321">
            <w:pPr>
              <w:rPr>
                <w:b/>
                <w:sz w:val="16"/>
                <w:szCs w:val="16"/>
                <w:lang w:eastAsia="uz-Cyrl-UZ"/>
              </w:rPr>
            </w:pPr>
            <w:r w:rsidRPr="003F2C03">
              <w:rPr>
                <w:b/>
                <w:sz w:val="16"/>
                <w:szCs w:val="16"/>
                <w:lang w:eastAsia="uz-Cyrl-UZ"/>
              </w:rPr>
              <w:t>Baseline</w:t>
            </w:r>
            <w:r w:rsidR="000667B0">
              <w:rPr>
                <w:b/>
                <w:sz w:val="16"/>
                <w:szCs w:val="16"/>
                <w:lang w:eastAsia="uz-Cyrl-UZ"/>
              </w:rPr>
              <w:t xml:space="preserve"> </w:t>
            </w:r>
            <w:r w:rsidR="000667B0" w:rsidRPr="00AA7688">
              <w:rPr>
                <w:sz w:val="16"/>
                <w:szCs w:val="16"/>
                <w:lang w:eastAsia="uz-Cyrl-UZ"/>
              </w:rPr>
              <w:t>(2015)</w:t>
            </w:r>
            <w:r w:rsidRPr="00AA7688">
              <w:rPr>
                <w:sz w:val="16"/>
                <w:szCs w:val="16"/>
                <w:lang w:eastAsia="uz-Cyrl-UZ"/>
              </w:rPr>
              <w:t>:</w:t>
            </w:r>
            <w:r w:rsidRPr="003F2C03">
              <w:rPr>
                <w:b/>
                <w:sz w:val="16"/>
                <w:szCs w:val="16"/>
                <w:lang w:eastAsia="uz-Cyrl-UZ"/>
              </w:rPr>
              <w:t xml:space="preserve"> </w:t>
            </w:r>
            <w:r w:rsidRPr="003F2C03">
              <w:rPr>
                <w:sz w:val="16"/>
                <w:szCs w:val="16"/>
                <w:lang w:eastAsia="uz-Cyrl-UZ"/>
              </w:rPr>
              <w:t xml:space="preserve">0 </w:t>
            </w:r>
          </w:p>
          <w:p w14:paraId="7A24A097" w14:textId="50AC02AA" w:rsidR="002C2321" w:rsidRPr="003F2C03" w:rsidRDefault="002C2321" w:rsidP="002C2321">
            <w:pPr>
              <w:rPr>
                <w:sz w:val="16"/>
                <w:szCs w:val="16"/>
                <w:lang w:eastAsia="uz-Cyrl-UZ"/>
              </w:rPr>
            </w:pPr>
            <w:r w:rsidRPr="003F2C03">
              <w:rPr>
                <w:b/>
                <w:sz w:val="16"/>
                <w:szCs w:val="16"/>
                <w:lang w:eastAsia="uz-Cyrl-UZ"/>
              </w:rPr>
              <w:t>Target</w:t>
            </w:r>
            <w:r w:rsidR="000667B0">
              <w:rPr>
                <w:b/>
                <w:sz w:val="16"/>
                <w:szCs w:val="16"/>
                <w:lang w:eastAsia="uz-Cyrl-UZ"/>
              </w:rPr>
              <w:t xml:space="preserve"> </w:t>
            </w:r>
            <w:r w:rsidR="000667B0" w:rsidRPr="00AA7688">
              <w:rPr>
                <w:sz w:val="16"/>
                <w:szCs w:val="16"/>
                <w:lang w:eastAsia="uz-Cyrl-UZ"/>
              </w:rPr>
              <w:t>(2021)</w:t>
            </w:r>
            <w:r w:rsidRPr="00AA7688">
              <w:rPr>
                <w:sz w:val="16"/>
                <w:szCs w:val="16"/>
                <w:lang w:eastAsia="uz-Cyrl-UZ"/>
              </w:rPr>
              <w:t>:</w:t>
            </w:r>
            <w:r w:rsidRPr="003F2C03">
              <w:rPr>
                <w:b/>
                <w:sz w:val="16"/>
                <w:szCs w:val="16"/>
                <w:lang w:eastAsia="uz-Cyrl-UZ"/>
              </w:rPr>
              <w:t xml:space="preserve"> </w:t>
            </w:r>
            <w:r w:rsidRPr="003F2C03">
              <w:rPr>
                <w:sz w:val="16"/>
                <w:szCs w:val="16"/>
                <w:lang w:eastAsia="uz-Cyrl-UZ"/>
              </w:rPr>
              <w:t xml:space="preserve">2 </w:t>
            </w:r>
          </w:p>
          <w:p w14:paraId="0F2A6C68" w14:textId="71EF0ABF" w:rsidR="0028393B" w:rsidRPr="003F2C03" w:rsidRDefault="002C2321" w:rsidP="000667B0">
            <w:pPr>
              <w:rPr>
                <w:sz w:val="16"/>
                <w:szCs w:val="16"/>
                <w:lang w:eastAsia="uz-Cyrl-UZ"/>
              </w:rPr>
            </w:pPr>
            <w:r w:rsidRPr="003F2C03">
              <w:rPr>
                <w:b/>
                <w:sz w:val="16"/>
                <w:szCs w:val="16"/>
                <w:lang w:eastAsia="uz-Cyrl-UZ"/>
              </w:rPr>
              <w:t>Means of verification</w:t>
            </w:r>
            <w:r w:rsidRPr="003F2C03">
              <w:rPr>
                <w:sz w:val="16"/>
                <w:szCs w:val="16"/>
                <w:lang w:eastAsia="uz-Cyrl-UZ"/>
              </w:rPr>
              <w:t>: National register of protected areas</w:t>
            </w:r>
          </w:p>
        </w:tc>
        <w:tc>
          <w:tcPr>
            <w:tcW w:w="705" w:type="pct"/>
            <w:gridSpan w:val="2"/>
            <w:tcBorders>
              <w:bottom w:val="single" w:sz="4" w:space="0" w:color="auto"/>
            </w:tcBorders>
          </w:tcPr>
          <w:p w14:paraId="698D93DE" w14:textId="0B437729" w:rsidR="002C2321" w:rsidRPr="00A71FFA" w:rsidRDefault="002C2321" w:rsidP="00DB1024">
            <w:pPr>
              <w:rPr>
                <w:iCs/>
                <w:color w:val="000000"/>
                <w:sz w:val="16"/>
                <w:szCs w:val="16"/>
                <w:lang w:val="en-GB"/>
              </w:rPr>
            </w:pPr>
            <w:r w:rsidRPr="00A71FFA">
              <w:rPr>
                <w:iCs/>
                <w:color w:val="000000"/>
                <w:sz w:val="16"/>
                <w:szCs w:val="16"/>
                <w:lang w:val="en-GB"/>
              </w:rPr>
              <w:t>University,</w:t>
            </w:r>
            <w:r w:rsidR="00555A17">
              <w:rPr>
                <w:iCs/>
                <w:color w:val="000000"/>
                <w:sz w:val="16"/>
                <w:szCs w:val="16"/>
                <w:lang w:val="en-GB"/>
              </w:rPr>
              <w:t xml:space="preserve"> </w:t>
            </w:r>
            <w:r w:rsidRPr="00A71FFA">
              <w:rPr>
                <w:iCs/>
                <w:color w:val="000000"/>
                <w:sz w:val="16"/>
                <w:szCs w:val="16"/>
                <w:lang w:val="en-GB"/>
              </w:rPr>
              <w:t xml:space="preserve">NGOs, Man and Biosphere National Committee, line ministries and local governments, communities </w:t>
            </w:r>
          </w:p>
        </w:tc>
        <w:tc>
          <w:tcPr>
            <w:tcW w:w="831" w:type="pct"/>
            <w:gridSpan w:val="2"/>
            <w:vMerge/>
            <w:tcBorders>
              <w:bottom w:val="single" w:sz="4" w:space="0" w:color="auto"/>
            </w:tcBorders>
            <w:tcMar>
              <w:top w:w="15" w:type="dxa"/>
              <w:left w:w="108" w:type="dxa"/>
              <w:bottom w:w="0" w:type="dxa"/>
              <w:right w:w="108" w:type="dxa"/>
            </w:tcMar>
          </w:tcPr>
          <w:p w14:paraId="776E8D6D" w14:textId="7F8332C5" w:rsidR="002C2321" w:rsidRPr="003F2C03" w:rsidRDefault="002C2321" w:rsidP="002C2321">
            <w:pPr>
              <w:rPr>
                <w:b/>
                <w:color w:val="000000"/>
                <w:sz w:val="16"/>
                <w:szCs w:val="16"/>
              </w:rPr>
            </w:pPr>
          </w:p>
        </w:tc>
      </w:tr>
      <w:tr w:rsidR="002C2321" w:rsidRPr="003F2C03" w14:paraId="60550A25" w14:textId="77777777" w:rsidTr="00B83412">
        <w:tc>
          <w:tcPr>
            <w:tcW w:w="5000" w:type="pct"/>
            <w:gridSpan w:val="7"/>
            <w:shd w:val="clear" w:color="auto" w:fill="auto"/>
            <w:tcMar>
              <w:top w:w="72" w:type="dxa"/>
              <w:left w:w="144" w:type="dxa"/>
              <w:bottom w:w="72" w:type="dxa"/>
              <w:right w:w="144" w:type="dxa"/>
            </w:tcMar>
          </w:tcPr>
          <w:p w14:paraId="7E6E1628" w14:textId="07567AFB" w:rsidR="002C2321" w:rsidRPr="003F2C03" w:rsidRDefault="002C2321" w:rsidP="002C2321">
            <w:pPr>
              <w:rPr>
                <w:color w:val="000000"/>
                <w:sz w:val="16"/>
                <w:szCs w:val="16"/>
              </w:rPr>
            </w:pPr>
            <w:r w:rsidRPr="003F2C03">
              <w:rPr>
                <w:b/>
                <w:bCs/>
                <w:color w:val="000000"/>
                <w:sz w:val="16"/>
                <w:szCs w:val="16"/>
                <w:lang w:val="en-GB"/>
              </w:rPr>
              <w:t xml:space="preserve">NATIONAL PRIORITY OR GOAL: </w:t>
            </w:r>
            <w:r w:rsidR="00EC608F" w:rsidRPr="00B816D4">
              <w:rPr>
                <w:bCs/>
                <w:color w:val="000000"/>
                <w:sz w:val="16"/>
                <w:szCs w:val="16"/>
                <w:lang w:val="en-GB"/>
              </w:rPr>
              <w:t>Related to SDGs 1, 5, 10 and 16</w:t>
            </w:r>
          </w:p>
        </w:tc>
      </w:tr>
      <w:tr w:rsidR="002C2321" w:rsidRPr="003F2C03" w14:paraId="0EAB92A8" w14:textId="77777777" w:rsidTr="00B83412">
        <w:tc>
          <w:tcPr>
            <w:tcW w:w="5000" w:type="pct"/>
            <w:gridSpan w:val="7"/>
            <w:shd w:val="clear" w:color="auto" w:fill="auto"/>
            <w:tcMar>
              <w:top w:w="72" w:type="dxa"/>
              <w:left w:w="144" w:type="dxa"/>
              <w:bottom w:w="72" w:type="dxa"/>
              <w:right w:w="144" w:type="dxa"/>
            </w:tcMar>
          </w:tcPr>
          <w:p w14:paraId="397312F8" w14:textId="2EB9DF75" w:rsidR="002C2321" w:rsidRPr="003F2C03" w:rsidRDefault="002C2321" w:rsidP="0092563D">
            <w:pPr>
              <w:rPr>
                <w:color w:val="000000"/>
                <w:sz w:val="16"/>
                <w:szCs w:val="16"/>
              </w:rPr>
            </w:pPr>
            <w:r w:rsidRPr="003F2C03">
              <w:rPr>
                <w:b/>
                <w:bCs/>
                <w:color w:val="000000"/>
                <w:sz w:val="16"/>
                <w:szCs w:val="16"/>
                <w:lang w:val="en-GB"/>
              </w:rPr>
              <w:t>UNDAF (OR EQUIVALENT) OUTCOME INVOLVING UNDP</w:t>
            </w:r>
            <w:r w:rsidR="000667B0">
              <w:rPr>
                <w:b/>
                <w:bCs/>
                <w:color w:val="000000"/>
                <w:sz w:val="16"/>
                <w:szCs w:val="16"/>
                <w:lang w:val="en-GB"/>
              </w:rPr>
              <w:t>:</w:t>
            </w:r>
            <w:r w:rsidRPr="003F2C03">
              <w:rPr>
                <w:b/>
                <w:bCs/>
                <w:color w:val="000000"/>
                <w:sz w:val="16"/>
                <w:szCs w:val="16"/>
                <w:lang w:val="en-GB"/>
              </w:rPr>
              <w:t xml:space="preserve"> </w:t>
            </w:r>
            <w:r w:rsidRPr="00FA2BA3">
              <w:rPr>
                <w:bCs/>
                <w:color w:val="000000"/>
                <w:sz w:val="16"/>
                <w:szCs w:val="16"/>
                <w:lang w:val="en-GB"/>
              </w:rPr>
              <w:t>3</w:t>
            </w:r>
            <w:r w:rsidR="0092563D" w:rsidRPr="00FA2BA3">
              <w:rPr>
                <w:bCs/>
                <w:color w:val="000000"/>
                <w:sz w:val="16"/>
                <w:szCs w:val="16"/>
                <w:lang w:val="en-GB"/>
              </w:rPr>
              <w:t>.</w:t>
            </w:r>
            <w:r w:rsidRPr="00FA2BA3">
              <w:rPr>
                <w:color w:val="000000"/>
                <w:sz w:val="16"/>
                <w:szCs w:val="16"/>
                <w:lang w:val="en-GB"/>
              </w:rPr>
              <w:t xml:space="preserve"> </w:t>
            </w:r>
            <w:r w:rsidRPr="00FA2BA3">
              <w:rPr>
                <w:bCs/>
                <w:sz w:val="16"/>
                <w:szCs w:val="16"/>
              </w:rPr>
              <w:t>By 2021 population has improved access to quality, equitable, inclusive and mutually reinforcing systems of health, education, protection and decent work promotion</w:t>
            </w:r>
            <w:r w:rsidR="00901E89" w:rsidRPr="00FA2BA3">
              <w:rPr>
                <w:bCs/>
                <w:sz w:val="16"/>
                <w:szCs w:val="16"/>
              </w:rPr>
              <w:t>.</w:t>
            </w:r>
          </w:p>
        </w:tc>
      </w:tr>
      <w:tr w:rsidR="002C2321" w:rsidRPr="003F2C03" w14:paraId="35F57FA4" w14:textId="77777777" w:rsidTr="00B83412">
        <w:tc>
          <w:tcPr>
            <w:tcW w:w="5000" w:type="pct"/>
            <w:gridSpan w:val="7"/>
            <w:shd w:val="clear" w:color="auto" w:fill="auto"/>
            <w:tcMar>
              <w:top w:w="72" w:type="dxa"/>
              <w:left w:w="144" w:type="dxa"/>
              <w:bottom w:w="72" w:type="dxa"/>
              <w:right w:w="144" w:type="dxa"/>
            </w:tcMar>
          </w:tcPr>
          <w:p w14:paraId="6725F359" w14:textId="278BAE40" w:rsidR="002C2321" w:rsidRPr="003F2C03" w:rsidRDefault="002C2321" w:rsidP="008B6C87">
            <w:pPr>
              <w:rPr>
                <w:b/>
                <w:bCs/>
                <w:color w:val="000000"/>
                <w:sz w:val="16"/>
                <w:szCs w:val="16"/>
                <w:lang w:val="en-GB"/>
              </w:rPr>
            </w:pPr>
            <w:r w:rsidRPr="003F2C03">
              <w:rPr>
                <w:b/>
                <w:bCs/>
                <w:color w:val="000000"/>
                <w:sz w:val="16"/>
                <w:szCs w:val="16"/>
                <w:lang w:val="en-GB"/>
              </w:rPr>
              <w:t>RELATED STRATEGIC PLAN OUTCOME (Strategic Plan 2014-2017)</w:t>
            </w:r>
            <w:r w:rsidR="00E445CA">
              <w:rPr>
                <w:b/>
                <w:bCs/>
                <w:color w:val="000000"/>
                <w:sz w:val="16"/>
                <w:szCs w:val="16"/>
                <w:lang w:val="en-GB"/>
              </w:rPr>
              <w:t>:</w:t>
            </w:r>
            <w:r w:rsidRPr="003F2C03">
              <w:rPr>
                <w:b/>
                <w:bCs/>
                <w:color w:val="000000"/>
                <w:sz w:val="16"/>
                <w:szCs w:val="16"/>
                <w:lang w:val="en-GB"/>
              </w:rPr>
              <w:t xml:space="preserve">  Outcome 1: Growth and development are inclusive and sustainable</w:t>
            </w:r>
            <w:r w:rsidR="000667B0">
              <w:rPr>
                <w:b/>
                <w:bCs/>
                <w:color w:val="000000"/>
                <w:sz w:val="16"/>
                <w:szCs w:val="16"/>
                <w:lang w:val="en-GB"/>
              </w:rPr>
              <w:t>,</w:t>
            </w:r>
            <w:r w:rsidRPr="003F2C03">
              <w:rPr>
                <w:b/>
                <w:bCs/>
                <w:color w:val="000000"/>
                <w:sz w:val="16"/>
                <w:szCs w:val="16"/>
                <w:lang w:val="en-GB"/>
              </w:rPr>
              <w:t xml:space="preserve"> incorporating productive capacities that create employment and livelihoods for poor and excluded</w:t>
            </w:r>
            <w:r w:rsidR="008B6C87">
              <w:rPr>
                <w:b/>
                <w:bCs/>
                <w:color w:val="000000"/>
                <w:sz w:val="16"/>
                <w:szCs w:val="16"/>
                <w:lang w:val="en-GB"/>
              </w:rPr>
              <w:t xml:space="preserve"> people</w:t>
            </w:r>
            <w:r w:rsidR="00E445CA">
              <w:rPr>
                <w:b/>
                <w:bCs/>
                <w:color w:val="000000"/>
                <w:sz w:val="16"/>
                <w:szCs w:val="16"/>
                <w:lang w:val="en-GB"/>
              </w:rPr>
              <w:t>,</w:t>
            </w:r>
            <w:r w:rsidRPr="003F2C03">
              <w:rPr>
                <w:b/>
                <w:bCs/>
                <w:color w:val="000000"/>
                <w:sz w:val="16"/>
                <w:szCs w:val="16"/>
                <w:lang w:val="en-GB"/>
              </w:rPr>
              <w:t xml:space="preserve"> </w:t>
            </w:r>
            <w:r w:rsidRPr="00E445CA">
              <w:rPr>
                <w:b/>
                <w:bCs/>
                <w:color w:val="000000"/>
                <w:sz w:val="16"/>
                <w:szCs w:val="16"/>
                <w:lang w:val="en-GB"/>
              </w:rPr>
              <w:t>and</w:t>
            </w:r>
            <w:r w:rsidRPr="003F2C03">
              <w:rPr>
                <w:b/>
                <w:bCs/>
                <w:color w:val="000000"/>
                <w:sz w:val="16"/>
                <w:szCs w:val="16"/>
                <w:lang w:val="en-GB"/>
              </w:rPr>
              <w:t xml:space="preserve"> Outcome 4</w:t>
            </w:r>
            <w:r w:rsidR="000667B0">
              <w:rPr>
                <w:b/>
                <w:bCs/>
                <w:color w:val="000000"/>
                <w:sz w:val="16"/>
                <w:szCs w:val="16"/>
                <w:lang w:val="en-GB"/>
              </w:rPr>
              <w:t xml:space="preserve">: </w:t>
            </w:r>
            <w:r w:rsidRPr="003F2C03">
              <w:rPr>
                <w:b/>
                <w:bCs/>
                <w:color w:val="000000"/>
                <w:sz w:val="16"/>
                <w:szCs w:val="16"/>
                <w:lang w:val="en-GB"/>
              </w:rPr>
              <w:t>Faster progress is achieved in reducing gender inequality and promoting women’s empowerment</w:t>
            </w:r>
            <w:r w:rsidR="00901E89">
              <w:rPr>
                <w:b/>
                <w:bCs/>
                <w:color w:val="000000"/>
                <w:sz w:val="16"/>
                <w:szCs w:val="16"/>
                <w:lang w:val="en-GB"/>
              </w:rPr>
              <w:t>.</w:t>
            </w:r>
            <w:r w:rsidRPr="003F2C03">
              <w:rPr>
                <w:b/>
                <w:bCs/>
                <w:color w:val="000000"/>
                <w:sz w:val="16"/>
                <w:szCs w:val="16"/>
                <w:lang w:val="en-GB"/>
              </w:rPr>
              <w:t xml:space="preserve"> </w:t>
            </w:r>
          </w:p>
        </w:tc>
      </w:tr>
      <w:tr w:rsidR="00704EB3" w:rsidRPr="003F2C03" w14:paraId="02E7E63B" w14:textId="77777777" w:rsidTr="00F66191">
        <w:tc>
          <w:tcPr>
            <w:tcW w:w="1135" w:type="pct"/>
            <w:tcBorders>
              <w:bottom w:val="single" w:sz="4" w:space="0" w:color="auto"/>
            </w:tcBorders>
            <w:tcMar>
              <w:top w:w="72" w:type="dxa"/>
              <w:left w:w="144" w:type="dxa"/>
              <w:bottom w:w="72" w:type="dxa"/>
              <w:right w:w="144" w:type="dxa"/>
            </w:tcMar>
          </w:tcPr>
          <w:p w14:paraId="07EE07B7" w14:textId="56074C76" w:rsidR="00704EB3" w:rsidRPr="003F2C03" w:rsidRDefault="00704EB3" w:rsidP="002C2321">
            <w:pPr>
              <w:rPr>
                <w:b/>
                <w:bCs/>
                <w:sz w:val="16"/>
                <w:szCs w:val="16"/>
              </w:rPr>
            </w:pPr>
            <w:r w:rsidRPr="003F2C03">
              <w:rPr>
                <w:b/>
                <w:bCs/>
                <w:sz w:val="16"/>
                <w:szCs w:val="16"/>
              </w:rPr>
              <w:t>2. Number of cases of domestic violence against women and violence</w:t>
            </w:r>
          </w:p>
          <w:p w14:paraId="51AAA257" w14:textId="77777777" w:rsidR="00704EB3" w:rsidRPr="003F2C03" w:rsidRDefault="00704EB3" w:rsidP="002C2321">
            <w:pPr>
              <w:rPr>
                <w:b/>
                <w:bCs/>
                <w:sz w:val="16"/>
                <w:szCs w:val="16"/>
              </w:rPr>
            </w:pPr>
            <w:r w:rsidRPr="003F2C03">
              <w:rPr>
                <w:b/>
                <w:bCs/>
                <w:sz w:val="16"/>
                <w:szCs w:val="16"/>
              </w:rPr>
              <w:t>against children registered (as a</w:t>
            </w:r>
          </w:p>
          <w:p w14:paraId="1A22B98D" w14:textId="77777777" w:rsidR="00704EB3" w:rsidRPr="003F2C03" w:rsidRDefault="00704EB3" w:rsidP="002C2321">
            <w:pPr>
              <w:rPr>
                <w:b/>
                <w:bCs/>
                <w:sz w:val="16"/>
                <w:szCs w:val="16"/>
              </w:rPr>
            </w:pPr>
            <w:r w:rsidRPr="003F2C03">
              <w:rPr>
                <w:b/>
                <w:bCs/>
                <w:sz w:val="16"/>
                <w:szCs w:val="16"/>
              </w:rPr>
              <w:t>measure of the responsiveness of</w:t>
            </w:r>
          </w:p>
          <w:p w14:paraId="413516D0" w14:textId="77777777" w:rsidR="00704EB3" w:rsidRPr="003F2C03" w:rsidRDefault="00704EB3" w:rsidP="002C2321">
            <w:pPr>
              <w:rPr>
                <w:b/>
                <w:bCs/>
                <w:sz w:val="16"/>
                <w:szCs w:val="16"/>
              </w:rPr>
            </w:pPr>
            <w:r w:rsidRPr="003F2C03">
              <w:rPr>
                <w:b/>
                <w:bCs/>
                <w:sz w:val="16"/>
                <w:szCs w:val="16"/>
              </w:rPr>
              <w:t>the system)</w:t>
            </w:r>
          </w:p>
          <w:p w14:paraId="1F770EBD" w14:textId="77777777" w:rsidR="00704EB3" w:rsidRPr="003F2C03" w:rsidRDefault="00704EB3" w:rsidP="002C2321">
            <w:pPr>
              <w:rPr>
                <w:b/>
                <w:bCs/>
                <w:sz w:val="16"/>
                <w:szCs w:val="16"/>
              </w:rPr>
            </w:pPr>
          </w:p>
          <w:p w14:paraId="2F7E1795" w14:textId="00014BF7" w:rsidR="00704EB3" w:rsidRPr="003F2C03" w:rsidRDefault="00704EB3" w:rsidP="002C2321">
            <w:pPr>
              <w:rPr>
                <w:bCs/>
                <w:sz w:val="16"/>
                <w:szCs w:val="16"/>
              </w:rPr>
            </w:pPr>
            <w:r w:rsidRPr="00AA7688">
              <w:rPr>
                <w:b/>
                <w:bCs/>
                <w:sz w:val="16"/>
                <w:szCs w:val="16"/>
              </w:rPr>
              <w:t>Baseline 1 (2014):</w:t>
            </w:r>
            <w:r w:rsidR="00E60EDA">
              <w:rPr>
                <w:b/>
                <w:bCs/>
                <w:sz w:val="16"/>
                <w:szCs w:val="16"/>
              </w:rPr>
              <w:t xml:space="preserve"> </w:t>
            </w:r>
            <w:r w:rsidRPr="003F2C03">
              <w:rPr>
                <w:bCs/>
                <w:sz w:val="16"/>
                <w:szCs w:val="16"/>
              </w:rPr>
              <w:t>310 cases of child victims</w:t>
            </w:r>
            <w:r w:rsidR="00E60EDA">
              <w:rPr>
                <w:bCs/>
                <w:sz w:val="16"/>
                <w:szCs w:val="16"/>
              </w:rPr>
              <w:t xml:space="preserve"> </w:t>
            </w:r>
            <w:r w:rsidRPr="003F2C03">
              <w:rPr>
                <w:bCs/>
                <w:sz w:val="16"/>
                <w:szCs w:val="16"/>
              </w:rPr>
              <w:t xml:space="preserve">registered by </w:t>
            </w:r>
            <w:r w:rsidR="00616E7D" w:rsidRPr="003F2C03">
              <w:rPr>
                <w:bCs/>
                <w:sz w:val="16"/>
                <w:szCs w:val="16"/>
              </w:rPr>
              <w:t>C</w:t>
            </w:r>
            <w:r w:rsidR="00616E7D">
              <w:rPr>
                <w:bCs/>
                <w:sz w:val="16"/>
                <w:szCs w:val="16"/>
              </w:rPr>
              <w:t>entr</w:t>
            </w:r>
            <w:r w:rsidR="008227E8">
              <w:rPr>
                <w:bCs/>
                <w:sz w:val="16"/>
                <w:szCs w:val="16"/>
              </w:rPr>
              <w:t>e</w:t>
            </w:r>
            <w:r w:rsidR="00616E7D">
              <w:rPr>
                <w:bCs/>
                <w:sz w:val="16"/>
                <w:szCs w:val="16"/>
              </w:rPr>
              <w:t>s for Social W</w:t>
            </w:r>
            <w:r w:rsidR="004B4840">
              <w:rPr>
                <w:bCs/>
                <w:sz w:val="16"/>
                <w:szCs w:val="16"/>
              </w:rPr>
              <w:t>elfare</w:t>
            </w:r>
            <w:r w:rsidR="00616E7D">
              <w:rPr>
                <w:bCs/>
                <w:sz w:val="16"/>
                <w:szCs w:val="16"/>
              </w:rPr>
              <w:t xml:space="preserve"> </w:t>
            </w:r>
          </w:p>
          <w:p w14:paraId="7310C5C1" w14:textId="4704A8B0" w:rsidR="00704EB3" w:rsidRPr="003F2C03" w:rsidRDefault="00704EB3" w:rsidP="002C2321">
            <w:pPr>
              <w:rPr>
                <w:bCs/>
                <w:sz w:val="16"/>
                <w:szCs w:val="16"/>
              </w:rPr>
            </w:pPr>
            <w:r w:rsidRPr="00AA7688">
              <w:rPr>
                <w:b/>
                <w:bCs/>
                <w:sz w:val="16"/>
                <w:szCs w:val="16"/>
              </w:rPr>
              <w:t>Target 1 (2021):</w:t>
            </w:r>
            <w:r w:rsidR="00E60EDA">
              <w:rPr>
                <w:b/>
                <w:bCs/>
                <w:sz w:val="16"/>
                <w:szCs w:val="16"/>
              </w:rPr>
              <w:t xml:space="preserve"> </w:t>
            </w:r>
            <w:r w:rsidRPr="003F2C03">
              <w:rPr>
                <w:bCs/>
                <w:sz w:val="16"/>
                <w:szCs w:val="16"/>
              </w:rPr>
              <w:t>500 cases of child victims</w:t>
            </w:r>
            <w:r w:rsidR="00E60EDA">
              <w:rPr>
                <w:bCs/>
                <w:sz w:val="16"/>
                <w:szCs w:val="16"/>
              </w:rPr>
              <w:t xml:space="preserve"> </w:t>
            </w:r>
            <w:r w:rsidRPr="003F2C03">
              <w:rPr>
                <w:bCs/>
                <w:sz w:val="16"/>
                <w:szCs w:val="16"/>
              </w:rPr>
              <w:t xml:space="preserve">registered by </w:t>
            </w:r>
            <w:r w:rsidR="008227E8" w:rsidRPr="003F2C03">
              <w:rPr>
                <w:bCs/>
                <w:sz w:val="16"/>
                <w:szCs w:val="16"/>
              </w:rPr>
              <w:t>C</w:t>
            </w:r>
            <w:r w:rsidR="008227E8">
              <w:rPr>
                <w:bCs/>
                <w:sz w:val="16"/>
                <w:szCs w:val="16"/>
              </w:rPr>
              <w:t>entres for Social Welfare</w:t>
            </w:r>
            <w:r w:rsidR="008227E8" w:rsidRPr="003F2C03" w:rsidDel="008227E8">
              <w:rPr>
                <w:bCs/>
                <w:sz w:val="16"/>
                <w:szCs w:val="16"/>
              </w:rPr>
              <w:t xml:space="preserve"> </w:t>
            </w:r>
          </w:p>
          <w:p w14:paraId="710D1F4F" w14:textId="77777777" w:rsidR="00704EB3" w:rsidRPr="003F2C03" w:rsidRDefault="00704EB3" w:rsidP="002C2321">
            <w:pPr>
              <w:rPr>
                <w:bCs/>
                <w:sz w:val="16"/>
                <w:szCs w:val="16"/>
              </w:rPr>
            </w:pPr>
          </w:p>
          <w:p w14:paraId="65417038" w14:textId="4260A075" w:rsidR="00704EB3" w:rsidRPr="003F2C03" w:rsidRDefault="00704EB3" w:rsidP="002C2321">
            <w:pPr>
              <w:rPr>
                <w:bCs/>
                <w:sz w:val="16"/>
                <w:szCs w:val="16"/>
              </w:rPr>
            </w:pPr>
            <w:r w:rsidRPr="00AA7688">
              <w:rPr>
                <w:b/>
                <w:bCs/>
                <w:sz w:val="16"/>
                <w:szCs w:val="16"/>
              </w:rPr>
              <w:t>Baseline 2 (2014):</w:t>
            </w:r>
            <w:r w:rsidR="00E60EDA">
              <w:rPr>
                <w:b/>
                <w:bCs/>
                <w:sz w:val="16"/>
                <w:szCs w:val="16"/>
              </w:rPr>
              <w:t xml:space="preserve"> </w:t>
            </w:r>
            <w:r w:rsidRPr="003F2C03">
              <w:rPr>
                <w:bCs/>
                <w:sz w:val="16"/>
                <w:szCs w:val="16"/>
              </w:rPr>
              <w:t>1,347 cases of domestic violence</w:t>
            </w:r>
            <w:r w:rsidR="00E60EDA">
              <w:rPr>
                <w:bCs/>
                <w:sz w:val="16"/>
                <w:szCs w:val="16"/>
              </w:rPr>
              <w:t xml:space="preserve"> </w:t>
            </w:r>
            <w:r w:rsidRPr="003F2C03">
              <w:rPr>
                <w:bCs/>
                <w:sz w:val="16"/>
                <w:szCs w:val="16"/>
              </w:rPr>
              <w:t>against women registered by the</w:t>
            </w:r>
            <w:r w:rsidR="00E60EDA">
              <w:rPr>
                <w:bCs/>
                <w:sz w:val="16"/>
                <w:szCs w:val="16"/>
              </w:rPr>
              <w:t xml:space="preserve"> </w:t>
            </w:r>
            <w:r w:rsidRPr="003F2C03">
              <w:rPr>
                <w:bCs/>
                <w:sz w:val="16"/>
                <w:szCs w:val="16"/>
              </w:rPr>
              <w:t>police</w:t>
            </w:r>
          </w:p>
          <w:p w14:paraId="1A7AF9F3" w14:textId="77777777" w:rsidR="00704EB3" w:rsidRPr="00AA7688" w:rsidRDefault="00704EB3" w:rsidP="002C2321">
            <w:pPr>
              <w:rPr>
                <w:b/>
                <w:bCs/>
                <w:sz w:val="16"/>
                <w:szCs w:val="16"/>
              </w:rPr>
            </w:pPr>
            <w:r w:rsidRPr="00AA7688">
              <w:rPr>
                <w:b/>
                <w:bCs/>
                <w:sz w:val="16"/>
                <w:szCs w:val="16"/>
              </w:rPr>
              <w:t>Target 2 (2021):</w:t>
            </w:r>
          </w:p>
          <w:p w14:paraId="7AD39E70" w14:textId="77777777" w:rsidR="00704EB3" w:rsidRPr="003F2C03" w:rsidRDefault="00704EB3" w:rsidP="002C2321">
            <w:pPr>
              <w:rPr>
                <w:bCs/>
                <w:sz w:val="16"/>
                <w:szCs w:val="16"/>
              </w:rPr>
            </w:pPr>
            <w:r w:rsidRPr="003F2C03">
              <w:rPr>
                <w:bCs/>
                <w:sz w:val="16"/>
                <w:szCs w:val="16"/>
              </w:rPr>
              <w:t>1,720 cases of domestic violence</w:t>
            </w:r>
          </w:p>
          <w:p w14:paraId="2372339D" w14:textId="77777777" w:rsidR="00704EB3" w:rsidRPr="003F2C03" w:rsidRDefault="00704EB3" w:rsidP="002C2321">
            <w:pPr>
              <w:rPr>
                <w:bCs/>
                <w:sz w:val="16"/>
                <w:szCs w:val="16"/>
              </w:rPr>
            </w:pPr>
            <w:r w:rsidRPr="003F2C03">
              <w:rPr>
                <w:bCs/>
                <w:sz w:val="16"/>
                <w:szCs w:val="16"/>
              </w:rPr>
              <w:t>against women registered by the</w:t>
            </w:r>
          </w:p>
          <w:p w14:paraId="6B8BB024" w14:textId="6F32CA80" w:rsidR="00704EB3" w:rsidRPr="003F2C03" w:rsidRDefault="00704EB3" w:rsidP="002C2321">
            <w:pPr>
              <w:rPr>
                <w:sz w:val="16"/>
                <w:szCs w:val="16"/>
              </w:rPr>
            </w:pPr>
            <w:r w:rsidRPr="003F2C03">
              <w:rPr>
                <w:bCs/>
                <w:sz w:val="16"/>
                <w:szCs w:val="16"/>
              </w:rPr>
              <w:t>police</w:t>
            </w:r>
          </w:p>
          <w:p w14:paraId="68F13715" w14:textId="77777777" w:rsidR="00704EB3" w:rsidRPr="003F2C03" w:rsidRDefault="00704EB3" w:rsidP="002C2321">
            <w:pPr>
              <w:rPr>
                <w:sz w:val="16"/>
                <w:szCs w:val="16"/>
              </w:rPr>
            </w:pPr>
          </w:p>
          <w:p w14:paraId="015B0A5A" w14:textId="77777777" w:rsidR="00704EB3" w:rsidRPr="003F2C03" w:rsidRDefault="00704EB3" w:rsidP="002C2321">
            <w:pPr>
              <w:rPr>
                <w:sz w:val="16"/>
                <w:szCs w:val="16"/>
              </w:rPr>
            </w:pPr>
          </w:p>
          <w:p w14:paraId="0477DCC7" w14:textId="0FF889FD" w:rsidR="00704EB3" w:rsidRPr="003F2C03" w:rsidRDefault="00704EB3" w:rsidP="002C2321">
            <w:pPr>
              <w:rPr>
                <w:rFonts w:eastAsiaTheme="minorHAnsi"/>
                <w:sz w:val="16"/>
                <w:szCs w:val="16"/>
                <w:u w:val="single"/>
              </w:rPr>
            </w:pPr>
            <w:r w:rsidRPr="003F2C03">
              <w:rPr>
                <w:b/>
                <w:sz w:val="16"/>
                <w:szCs w:val="16"/>
              </w:rPr>
              <w:t>5. Number of people accessing standardized family and community services and cash transfers</w:t>
            </w:r>
            <w:r w:rsidRPr="003F2C03">
              <w:rPr>
                <w:sz w:val="16"/>
                <w:szCs w:val="16"/>
              </w:rPr>
              <w:br/>
            </w:r>
          </w:p>
          <w:p w14:paraId="055D755F" w14:textId="00DBD445" w:rsidR="00704EB3" w:rsidRPr="00AA7688" w:rsidRDefault="00704EB3" w:rsidP="002C2321">
            <w:pPr>
              <w:rPr>
                <w:b/>
                <w:sz w:val="16"/>
                <w:szCs w:val="16"/>
              </w:rPr>
            </w:pPr>
            <w:r w:rsidRPr="00AA7688">
              <w:rPr>
                <w:b/>
                <w:sz w:val="16"/>
                <w:szCs w:val="16"/>
              </w:rPr>
              <w:lastRenderedPageBreak/>
              <w:t>Baseline (services)</w:t>
            </w:r>
            <w:r w:rsidR="000667B0" w:rsidRPr="00AA7688">
              <w:rPr>
                <w:b/>
                <w:sz w:val="16"/>
                <w:szCs w:val="16"/>
              </w:rPr>
              <w:t xml:space="preserve"> (2015)</w:t>
            </w:r>
            <w:r w:rsidR="005D7E51" w:rsidRPr="00AA7688">
              <w:rPr>
                <w:b/>
                <w:sz w:val="16"/>
                <w:szCs w:val="16"/>
              </w:rPr>
              <w:t>;</w:t>
            </w:r>
          </w:p>
          <w:p w14:paraId="6D6C5E07" w14:textId="5C46DEB6" w:rsidR="00704EB3" w:rsidRPr="003F2C03" w:rsidRDefault="00704EB3" w:rsidP="002C2321">
            <w:pPr>
              <w:rPr>
                <w:sz w:val="16"/>
                <w:szCs w:val="16"/>
              </w:rPr>
            </w:pPr>
            <w:r w:rsidRPr="003F2C03">
              <w:rPr>
                <w:sz w:val="16"/>
                <w:szCs w:val="16"/>
              </w:rPr>
              <w:t xml:space="preserve">900; </w:t>
            </w:r>
            <w:r w:rsidR="00901E89">
              <w:rPr>
                <w:sz w:val="16"/>
                <w:szCs w:val="16"/>
              </w:rPr>
              <w:t xml:space="preserve">under age </w:t>
            </w:r>
            <w:r w:rsidRPr="003F2C03">
              <w:rPr>
                <w:sz w:val="16"/>
                <w:szCs w:val="16"/>
              </w:rPr>
              <w:t>18</w:t>
            </w:r>
            <w:r w:rsidR="000667B0">
              <w:rPr>
                <w:sz w:val="16"/>
                <w:szCs w:val="16"/>
              </w:rPr>
              <w:t xml:space="preserve">, </w:t>
            </w:r>
            <w:r w:rsidRPr="003F2C03">
              <w:rPr>
                <w:sz w:val="16"/>
                <w:szCs w:val="16"/>
              </w:rPr>
              <w:t xml:space="preserve">520;  </w:t>
            </w:r>
            <w:r w:rsidR="00901E89">
              <w:rPr>
                <w:sz w:val="16"/>
                <w:szCs w:val="16"/>
              </w:rPr>
              <w:t xml:space="preserve">over </w:t>
            </w:r>
            <w:r w:rsidRPr="003F2C03">
              <w:rPr>
                <w:sz w:val="16"/>
                <w:szCs w:val="16"/>
              </w:rPr>
              <w:t>18</w:t>
            </w:r>
            <w:r w:rsidR="000667B0">
              <w:rPr>
                <w:sz w:val="16"/>
                <w:szCs w:val="16"/>
              </w:rPr>
              <w:t>,</w:t>
            </w:r>
            <w:r w:rsidRPr="003F2C03">
              <w:rPr>
                <w:sz w:val="16"/>
                <w:szCs w:val="16"/>
              </w:rPr>
              <w:t xml:space="preserve"> 480; </w:t>
            </w:r>
            <w:r w:rsidR="000667B0">
              <w:rPr>
                <w:sz w:val="16"/>
                <w:szCs w:val="16"/>
              </w:rPr>
              <w:t>m</w:t>
            </w:r>
            <w:r w:rsidRPr="003F2C03">
              <w:rPr>
                <w:sz w:val="16"/>
                <w:szCs w:val="16"/>
              </w:rPr>
              <w:t>ale</w:t>
            </w:r>
            <w:r w:rsidR="000667B0">
              <w:rPr>
                <w:sz w:val="16"/>
                <w:szCs w:val="16"/>
              </w:rPr>
              <w:t>,</w:t>
            </w:r>
            <w:r w:rsidRPr="003F2C03">
              <w:rPr>
                <w:sz w:val="16"/>
                <w:szCs w:val="16"/>
              </w:rPr>
              <w:t xml:space="preserve"> 390</w:t>
            </w:r>
            <w:r w:rsidR="000667B0">
              <w:rPr>
                <w:sz w:val="16"/>
                <w:szCs w:val="16"/>
              </w:rPr>
              <w:t>;</w:t>
            </w:r>
            <w:r w:rsidRPr="003F2C03">
              <w:rPr>
                <w:sz w:val="16"/>
                <w:szCs w:val="16"/>
              </w:rPr>
              <w:t xml:space="preserve"> </w:t>
            </w:r>
            <w:r w:rsidR="000667B0">
              <w:rPr>
                <w:sz w:val="16"/>
                <w:szCs w:val="16"/>
              </w:rPr>
              <w:t>f</w:t>
            </w:r>
            <w:r w:rsidRPr="003F2C03">
              <w:rPr>
                <w:sz w:val="16"/>
                <w:szCs w:val="16"/>
              </w:rPr>
              <w:t>emale</w:t>
            </w:r>
            <w:r w:rsidR="000667B0">
              <w:rPr>
                <w:sz w:val="16"/>
                <w:szCs w:val="16"/>
              </w:rPr>
              <w:t>,</w:t>
            </w:r>
            <w:r w:rsidRPr="003F2C03">
              <w:rPr>
                <w:sz w:val="16"/>
                <w:szCs w:val="16"/>
              </w:rPr>
              <w:t xml:space="preserve"> 510</w:t>
            </w:r>
          </w:p>
          <w:p w14:paraId="71602C4C" w14:textId="0C6AF8BE" w:rsidR="00704EB3" w:rsidRPr="00AA7688" w:rsidRDefault="00704EB3" w:rsidP="002C2321">
            <w:pPr>
              <w:rPr>
                <w:b/>
                <w:sz w:val="16"/>
                <w:szCs w:val="16"/>
              </w:rPr>
            </w:pPr>
            <w:r w:rsidRPr="00AA7688">
              <w:rPr>
                <w:b/>
                <w:sz w:val="16"/>
                <w:szCs w:val="16"/>
              </w:rPr>
              <w:t>Target (services)</w:t>
            </w:r>
            <w:r w:rsidR="000667B0" w:rsidRPr="00AA7688">
              <w:rPr>
                <w:b/>
                <w:sz w:val="16"/>
                <w:szCs w:val="16"/>
              </w:rPr>
              <w:t xml:space="preserve"> (2012)</w:t>
            </w:r>
            <w:r w:rsidR="005D7E51" w:rsidRPr="00AA7688">
              <w:rPr>
                <w:b/>
                <w:sz w:val="16"/>
                <w:szCs w:val="16"/>
              </w:rPr>
              <w:t>:</w:t>
            </w:r>
          </w:p>
          <w:p w14:paraId="11906642" w14:textId="07AFC4EF" w:rsidR="00704EB3" w:rsidRPr="003F2C03" w:rsidRDefault="00704EB3" w:rsidP="002C2321">
            <w:pPr>
              <w:rPr>
                <w:sz w:val="16"/>
                <w:szCs w:val="16"/>
              </w:rPr>
            </w:pPr>
            <w:r w:rsidRPr="003F2C03">
              <w:rPr>
                <w:sz w:val="16"/>
                <w:szCs w:val="16"/>
              </w:rPr>
              <w:t xml:space="preserve">2,000; </w:t>
            </w:r>
            <w:r w:rsidR="00901E89">
              <w:rPr>
                <w:sz w:val="16"/>
                <w:szCs w:val="16"/>
              </w:rPr>
              <w:t xml:space="preserve">under </w:t>
            </w:r>
            <w:r w:rsidRPr="003F2C03">
              <w:rPr>
                <w:sz w:val="16"/>
                <w:szCs w:val="16"/>
              </w:rPr>
              <w:t>age 18</w:t>
            </w:r>
            <w:r w:rsidR="000667B0">
              <w:rPr>
                <w:sz w:val="16"/>
                <w:szCs w:val="16"/>
              </w:rPr>
              <w:t xml:space="preserve">, </w:t>
            </w:r>
            <w:r w:rsidRPr="003F2C03">
              <w:rPr>
                <w:sz w:val="16"/>
                <w:szCs w:val="16"/>
              </w:rPr>
              <w:t xml:space="preserve">650; </w:t>
            </w:r>
            <w:r w:rsidR="00901E89">
              <w:rPr>
                <w:sz w:val="16"/>
                <w:szCs w:val="16"/>
              </w:rPr>
              <w:t xml:space="preserve">over </w:t>
            </w:r>
            <w:r w:rsidRPr="003F2C03">
              <w:rPr>
                <w:sz w:val="16"/>
                <w:szCs w:val="16"/>
              </w:rPr>
              <w:t>18</w:t>
            </w:r>
            <w:r w:rsidR="000667B0">
              <w:rPr>
                <w:sz w:val="16"/>
                <w:szCs w:val="16"/>
              </w:rPr>
              <w:t>,</w:t>
            </w:r>
            <w:r w:rsidRPr="003F2C03">
              <w:rPr>
                <w:sz w:val="16"/>
                <w:szCs w:val="16"/>
              </w:rPr>
              <w:t xml:space="preserve"> 1,350; </w:t>
            </w:r>
            <w:r w:rsidR="000667B0">
              <w:rPr>
                <w:sz w:val="16"/>
                <w:szCs w:val="16"/>
              </w:rPr>
              <w:t>m</w:t>
            </w:r>
            <w:r w:rsidRPr="003F2C03">
              <w:rPr>
                <w:sz w:val="16"/>
                <w:szCs w:val="16"/>
              </w:rPr>
              <w:t>ale</w:t>
            </w:r>
            <w:r w:rsidR="000667B0">
              <w:rPr>
                <w:sz w:val="16"/>
                <w:szCs w:val="16"/>
              </w:rPr>
              <w:t xml:space="preserve">, </w:t>
            </w:r>
            <w:r w:rsidRPr="003F2C03">
              <w:rPr>
                <w:sz w:val="16"/>
                <w:szCs w:val="16"/>
              </w:rPr>
              <w:t>850</w:t>
            </w:r>
            <w:r w:rsidR="000667B0">
              <w:rPr>
                <w:sz w:val="16"/>
                <w:szCs w:val="16"/>
              </w:rPr>
              <w:t>; f</w:t>
            </w:r>
            <w:r w:rsidRPr="003F2C03">
              <w:rPr>
                <w:sz w:val="16"/>
                <w:szCs w:val="16"/>
              </w:rPr>
              <w:t>emale</w:t>
            </w:r>
            <w:r w:rsidR="000667B0">
              <w:rPr>
                <w:sz w:val="16"/>
                <w:szCs w:val="16"/>
              </w:rPr>
              <w:t>,</w:t>
            </w:r>
            <w:r w:rsidRPr="003F2C03">
              <w:rPr>
                <w:sz w:val="16"/>
                <w:szCs w:val="16"/>
              </w:rPr>
              <w:t xml:space="preserve"> 1,250</w:t>
            </w:r>
          </w:p>
          <w:p w14:paraId="6BAFB52F" w14:textId="12FE2ADA" w:rsidR="00704EB3" w:rsidRPr="00AA7688" w:rsidRDefault="00704EB3" w:rsidP="002C2321">
            <w:pPr>
              <w:rPr>
                <w:b/>
                <w:sz w:val="16"/>
                <w:szCs w:val="16"/>
              </w:rPr>
            </w:pPr>
            <w:r w:rsidRPr="00AA7688">
              <w:rPr>
                <w:b/>
                <w:sz w:val="16"/>
                <w:szCs w:val="16"/>
              </w:rPr>
              <w:t>Baseline (de-institutionalization)</w:t>
            </w:r>
            <w:r w:rsidR="005D7E51">
              <w:rPr>
                <w:b/>
                <w:sz w:val="16"/>
                <w:szCs w:val="16"/>
              </w:rPr>
              <w:t xml:space="preserve"> (2014):</w:t>
            </w:r>
          </w:p>
          <w:p w14:paraId="4EC6C9A7" w14:textId="58F02642" w:rsidR="00704EB3" w:rsidRPr="003F2C03" w:rsidRDefault="00704EB3" w:rsidP="002C2321">
            <w:pPr>
              <w:rPr>
                <w:sz w:val="16"/>
                <w:szCs w:val="16"/>
                <w:u w:val="single"/>
              </w:rPr>
            </w:pPr>
            <w:r w:rsidRPr="003F2C03">
              <w:rPr>
                <w:sz w:val="16"/>
                <w:szCs w:val="16"/>
              </w:rPr>
              <w:t>132; age 0-3</w:t>
            </w:r>
            <w:r w:rsidR="005D7E51">
              <w:rPr>
                <w:sz w:val="16"/>
                <w:szCs w:val="16"/>
              </w:rPr>
              <w:t>,</w:t>
            </w:r>
            <w:r w:rsidRPr="003F2C03">
              <w:rPr>
                <w:sz w:val="16"/>
                <w:szCs w:val="16"/>
              </w:rPr>
              <w:t xml:space="preserve"> 8</w:t>
            </w:r>
            <w:r w:rsidR="005D7E51">
              <w:rPr>
                <w:sz w:val="16"/>
                <w:szCs w:val="16"/>
              </w:rPr>
              <w:t>;</w:t>
            </w:r>
            <w:r w:rsidRPr="003F2C03">
              <w:rPr>
                <w:sz w:val="16"/>
                <w:szCs w:val="16"/>
              </w:rPr>
              <w:t xml:space="preserve"> 3+</w:t>
            </w:r>
            <w:r w:rsidR="005D7E51">
              <w:rPr>
                <w:sz w:val="16"/>
                <w:szCs w:val="16"/>
              </w:rPr>
              <w:t>,</w:t>
            </w:r>
            <w:r w:rsidRPr="003F2C03">
              <w:rPr>
                <w:sz w:val="16"/>
                <w:szCs w:val="16"/>
              </w:rPr>
              <w:t xml:space="preserve"> 124</w:t>
            </w:r>
            <w:r w:rsidR="005D7E51">
              <w:rPr>
                <w:sz w:val="16"/>
                <w:szCs w:val="16"/>
              </w:rPr>
              <w:t>;</w:t>
            </w:r>
            <w:r w:rsidRPr="003F2C03">
              <w:rPr>
                <w:sz w:val="16"/>
                <w:szCs w:val="16"/>
              </w:rPr>
              <w:t xml:space="preserve"> boys</w:t>
            </w:r>
            <w:r w:rsidR="005D7E51">
              <w:rPr>
                <w:sz w:val="16"/>
                <w:szCs w:val="16"/>
              </w:rPr>
              <w:t>,</w:t>
            </w:r>
            <w:r w:rsidRPr="003F2C03">
              <w:rPr>
                <w:sz w:val="16"/>
                <w:szCs w:val="16"/>
              </w:rPr>
              <w:t xml:space="preserve"> 74</w:t>
            </w:r>
            <w:r w:rsidR="005D7E51">
              <w:rPr>
                <w:sz w:val="16"/>
                <w:szCs w:val="16"/>
              </w:rPr>
              <w:t>;</w:t>
            </w:r>
            <w:r w:rsidRPr="003F2C03">
              <w:rPr>
                <w:sz w:val="16"/>
                <w:szCs w:val="16"/>
              </w:rPr>
              <w:t xml:space="preserve"> girls</w:t>
            </w:r>
            <w:r w:rsidR="005D7E51">
              <w:rPr>
                <w:sz w:val="16"/>
                <w:szCs w:val="16"/>
              </w:rPr>
              <w:t>,</w:t>
            </w:r>
            <w:r w:rsidRPr="003F2C03">
              <w:rPr>
                <w:sz w:val="16"/>
                <w:szCs w:val="16"/>
              </w:rPr>
              <w:t xml:space="preserve"> 58; children with no disability</w:t>
            </w:r>
            <w:r w:rsidR="005D7E51">
              <w:rPr>
                <w:sz w:val="16"/>
                <w:szCs w:val="16"/>
              </w:rPr>
              <w:t>,</w:t>
            </w:r>
            <w:r w:rsidRPr="003F2C03">
              <w:rPr>
                <w:sz w:val="16"/>
                <w:szCs w:val="16"/>
              </w:rPr>
              <w:t xml:space="preserve"> 73</w:t>
            </w:r>
            <w:r w:rsidR="005D7E51">
              <w:rPr>
                <w:sz w:val="16"/>
                <w:szCs w:val="16"/>
              </w:rPr>
              <w:t>;</w:t>
            </w:r>
            <w:r w:rsidRPr="003F2C03">
              <w:rPr>
                <w:sz w:val="16"/>
                <w:szCs w:val="16"/>
              </w:rPr>
              <w:t xml:space="preserve"> children with disability</w:t>
            </w:r>
            <w:r w:rsidR="005D7E51">
              <w:rPr>
                <w:sz w:val="16"/>
                <w:szCs w:val="16"/>
              </w:rPr>
              <w:t>,</w:t>
            </w:r>
            <w:r w:rsidRPr="003F2C03">
              <w:rPr>
                <w:sz w:val="16"/>
                <w:szCs w:val="16"/>
              </w:rPr>
              <w:t xml:space="preserve"> 59</w:t>
            </w:r>
          </w:p>
          <w:p w14:paraId="3B32F5FE" w14:textId="4DC7BDFC" w:rsidR="00704EB3" w:rsidRPr="00AA7688" w:rsidRDefault="00704EB3" w:rsidP="002C2321">
            <w:pPr>
              <w:rPr>
                <w:b/>
                <w:sz w:val="16"/>
                <w:szCs w:val="16"/>
              </w:rPr>
            </w:pPr>
            <w:r w:rsidRPr="00AA7688">
              <w:rPr>
                <w:b/>
                <w:sz w:val="16"/>
                <w:szCs w:val="16"/>
              </w:rPr>
              <w:t>Target (de-institutionalization)</w:t>
            </w:r>
            <w:r w:rsidR="005D7E51">
              <w:rPr>
                <w:b/>
                <w:sz w:val="16"/>
                <w:szCs w:val="16"/>
              </w:rPr>
              <w:t xml:space="preserve"> (2021):</w:t>
            </w:r>
          </w:p>
          <w:p w14:paraId="2D13E173" w14:textId="4C8D1656" w:rsidR="00704EB3" w:rsidRPr="003F2C03" w:rsidRDefault="00704EB3" w:rsidP="002C2321">
            <w:pPr>
              <w:rPr>
                <w:sz w:val="16"/>
                <w:szCs w:val="16"/>
              </w:rPr>
            </w:pPr>
            <w:r w:rsidRPr="003F2C03">
              <w:rPr>
                <w:sz w:val="16"/>
                <w:szCs w:val="16"/>
              </w:rPr>
              <w:t>95; age 0-3</w:t>
            </w:r>
            <w:r w:rsidR="005D7E51">
              <w:rPr>
                <w:sz w:val="16"/>
                <w:szCs w:val="16"/>
              </w:rPr>
              <w:t>,</w:t>
            </w:r>
            <w:r w:rsidRPr="003F2C03">
              <w:rPr>
                <w:sz w:val="16"/>
                <w:szCs w:val="16"/>
              </w:rPr>
              <w:t xml:space="preserve"> 0</w:t>
            </w:r>
            <w:r w:rsidR="005D7E51">
              <w:rPr>
                <w:sz w:val="16"/>
                <w:szCs w:val="16"/>
              </w:rPr>
              <w:t>;</w:t>
            </w:r>
            <w:r w:rsidRPr="003F2C03">
              <w:rPr>
                <w:sz w:val="16"/>
                <w:szCs w:val="16"/>
              </w:rPr>
              <w:t xml:space="preserve"> 3+</w:t>
            </w:r>
            <w:r w:rsidR="005D7E51">
              <w:rPr>
                <w:sz w:val="16"/>
                <w:szCs w:val="16"/>
              </w:rPr>
              <w:t>,</w:t>
            </w:r>
            <w:r w:rsidRPr="003F2C03">
              <w:rPr>
                <w:sz w:val="16"/>
                <w:szCs w:val="16"/>
              </w:rPr>
              <w:t xml:space="preserve"> 95</w:t>
            </w:r>
            <w:r w:rsidR="005D7E51">
              <w:rPr>
                <w:sz w:val="16"/>
                <w:szCs w:val="16"/>
              </w:rPr>
              <w:t>;</w:t>
            </w:r>
            <w:r w:rsidRPr="003F2C03">
              <w:rPr>
                <w:sz w:val="16"/>
                <w:szCs w:val="16"/>
              </w:rPr>
              <w:t xml:space="preserve"> boys</w:t>
            </w:r>
            <w:r w:rsidR="005D7E51">
              <w:rPr>
                <w:sz w:val="16"/>
                <w:szCs w:val="16"/>
              </w:rPr>
              <w:t>,</w:t>
            </w:r>
            <w:r w:rsidRPr="003F2C03">
              <w:rPr>
                <w:sz w:val="16"/>
                <w:szCs w:val="16"/>
              </w:rPr>
              <w:t xml:space="preserve"> 50</w:t>
            </w:r>
            <w:r w:rsidR="005D7E51">
              <w:rPr>
                <w:sz w:val="16"/>
                <w:szCs w:val="16"/>
              </w:rPr>
              <w:t>;</w:t>
            </w:r>
            <w:r w:rsidRPr="003F2C03">
              <w:rPr>
                <w:sz w:val="16"/>
                <w:szCs w:val="16"/>
              </w:rPr>
              <w:t xml:space="preserve"> girls</w:t>
            </w:r>
            <w:r w:rsidR="005D7E51">
              <w:rPr>
                <w:sz w:val="16"/>
                <w:szCs w:val="16"/>
              </w:rPr>
              <w:t>,</w:t>
            </w:r>
            <w:r w:rsidRPr="003F2C03">
              <w:rPr>
                <w:sz w:val="16"/>
                <w:szCs w:val="16"/>
              </w:rPr>
              <w:t xml:space="preserve"> 45; children with no disability</w:t>
            </w:r>
            <w:r w:rsidR="005D7E51">
              <w:rPr>
                <w:sz w:val="16"/>
                <w:szCs w:val="16"/>
              </w:rPr>
              <w:t>,</w:t>
            </w:r>
            <w:r w:rsidRPr="003F2C03">
              <w:rPr>
                <w:sz w:val="16"/>
                <w:szCs w:val="16"/>
              </w:rPr>
              <w:t xml:space="preserve"> 60</w:t>
            </w:r>
            <w:r w:rsidR="005D7E51">
              <w:rPr>
                <w:sz w:val="16"/>
                <w:szCs w:val="16"/>
              </w:rPr>
              <w:t>;</w:t>
            </w:r>
            <w:r w:rsidRPr="003F2C03">
              <w:rPr>
                <w:sz w:val="16"/>
                <w:szCs w:val="16"/>
              </w:rPr>
              <w:t xml:space="preserve"> children with disability</w:t>
            </w:r>
            <w:r w:rsidR="005D7E51">
              <w:rPr>
                <w:sz w:val="16"/>
                <w:szCs w:val="16"/>
              </w:rPr>
              <w:t>,</w:t>
            </w:r>
            <w:r w:rsidRPr="003F2C03">
              <w:rPr>
                <w:sz w:val="16"/>
                <w:szCs w:val="16"/>
              </w:rPr>
              <w:t xml:space="preserve"> 35</w:t>
            </w:r>
          </w:p>
          <w:p w14:paraId="593433BF" w14:textId="73B563B6" w:rsidR="00704EB3" w:rsidRPr="003F2C03" w:rsidRDefault="00704EB3" w:rsidP="002C2321">
            <w:pPr>
              <w:rPr>
                <w:sz w:val="16"/>
                <w:szCs w:val="16"/>
              </w:rPr>
            </w:pPr>
            <w:r w:rsidRPr="00AA7688">
              <w:rPr>
                <w:b/>
                <w:sz w:val="16"/>
                <w:szCs w:val="16"/>
              </w:rPr>
              <w:t>Baseline (transfer accuracy targeting)</w:t>
            </w:r>
            <w:r w:rsidR="005D7E51">
              <w:rPr>
                <w:b/>
                <w:sz w:val="16"/>
                <w:szCs w:val="16"/>
              </w:rPr>
              <w:t xml:space="preserve"> (2012):</w:t>
            </w:r>
            <w:r w:rsidR="005D7E51">
              <w:rPr>
                <w:sz w:val="16"/>
                <w:szCs w:val="16"/>
              </w:rPr>
              <w:t xml:space="preserve"> </w:t>
            </w:r>
            <w:r w:rsidRPr="003F2C03">
              <w:rPr>
                <w:sz w:val="16"/>
                <w:szCs w:val="16"/>
              </w:rPr>
              <w:t xml:space="preserve">86% </w:t>
            </w:r>
          </w:p>
          <w:p w14:paraId="68A433EB" w14:textId="12B48F25" w:rsidR="00704EB3" w:rsidRPr="003F2C03" w:rsidRDefault="00704EB3" w:rsidP="005D7E51">
            <w:pPr>
              <w:rPr>
                <w:bCs/>
                <w:i/>
                <w:sz w:val="16"/>
                <w:szCs w:val="16"/>
                <w:lang w:val="en-GB"/>
              </w:rPr>
            </w:pPr>
            <w:r w:rsidRPr="00AA7688">
              <w:rPr>
                <w:b/>
                <w:sz w:val="16"/>
                <w:szCs w:val="16"/>
              </w:rPr>
              <w:t>Target (transfer accuracy targeting)</w:t>
            </w:r>
            <w:r w:rsidR="005D7E51">
              <w:rPr>
                <w:b/>
                <w:sz w:val="16"/>
                <w:szCs w:val="16"/>
              </w:rPr>
              <w:t xml:space="preserve"> (2021):</w:t>
            </w:r>
            <w:r w:rsidR="005D7E51">
              <w:rPr>
                <w:sz w:val="16"/>
                <w:szCs w:val="16"/>
              </w:rPr>
              <w:t xml:space="preserve"> </w:t>
            </w:r>
            <w:r w:rsidRPr="003F2C03">
              <w:rPr>
                <w:sz w:val="16"/>
                <w:szCs w:val="16"/>
              </w:rPr>
              <w:t>90%</w:t>
            </w:r>
          </w:p>
        </w:tc>
        <w:tc>
          <w:tcPr>
            <w:tcW w:w="705" w:type="pct"/>
            <w:tcBorders>
              <w:bottom w:val="single" w:sz="4" w:space="0" w:color="auto"/>
            </w:tcBorders>
          </w:tcPr>
          <w:p w14:paraId="7E68BA26" w14:textId="77777777" w:rsidR="00704EB3" w:rsidRPr="003F2C03" w:rsidRDefault="00704EB3" w:rsidP="002C2321">
            <w:pPr>
              <w:rPr>
                <w:iCs/>
                <w:sz w:val="16"/>
                <w:szCs w:val="16"/>
                <w:lang w:val="en-GB"/>
              </w:rPr>
            </w:pPr>
          </w:p>
          <w:p w14:paraId="12BA46B5" w14:textId="543C3777" w:rsidR="00704EB3" w:rsidRPr="003F2C03" w:rsidRDefault="00704EB3" w:rsidP="002C2321">
            <w:pPr>
              <w:rPr>
                <w:bCs/>
                <w:color w:val="000000"/>
                <w:sz w:val="16"/>
                <w:szCs w:val="16"/>
                <w:lang w:val="en-GB"/>
              </w:rPr>
            </w:pPr>
            <w:r w:rsidRPr="003F2C03">
              <w:rPr>
                <w:bCs/>
                <w:color w:val="000000"/>
                <w:sz w:val="16"/>
                <w:szCs w:val="16"/>
                <w:lang w:val="en-GB"/>
              </w:rPr>
              <w:t xml:space="preserve">EU </w:t>
            </w:r>
            <w:r w:rsidR="005D7E51">
              <w:rPr>
                <w:bCs/>
                <w:color w:val="000000"/>
                <w:sz w:val="16"/>
                <w:szCs w:val="16"/>
                <w:lang w:val="en-GB"/>
              </w:rPr>
              <w:t>p</w:t>
            </w:r>
            <w:r w:rsidRPr="003F2C03">
              <w:rPr>
                <w:bCs/>
                <w:color w:val="000000"/>
                <w:sz w:val="16"/>
                <w:szCs w:val="16"/>
                <w:lang w:val="en-GB"/>
              </w:rPr>
              <w:t xml:space="preserve">rogress </w:t>
            </w:r>
            <w:r w:rsidR="005D7E51">
              <w:rPr>
                <w:bCs/>
                <w:color w:val="000000"/>
                <w:sz w:val="16"/>
                <w:szCs w:val="16"/>
                <w:lang w:val="en-GB"/>
              </w:rPr>
              <w:t>r</w:t>
            </w:r>
            <w:r w:rsidRPr="003F2C03">
              <w:rPr>
                <w:bCs/>
                <w:color w:val="000000"/>
                <w:sz w:val="16"/>
                <w:szCs w:val="16"/>
                <w:lang w:val="en-GB"/>
              </w:rPr>
              <w:t xml:space="preserve">eports, </w:t>
            </w:r>
          </w:p>
          <w:p w14:paraId="0F374DD2" w14:textId="250B5AF6" w:rsidR="00704EB3" w:rsidRPr="003F2C03" w:rsidRDefault="005D7E51" w:rsidP="002C2321">
            <w:pPr>
              <w:rPr>
                <w:bCs/>
                <w:color w:val="000000"/>
                <w:sz w:val="16"/>
                <w:szCs w:val="16"/>
                <w:lang w:val="en-GB"/>
              </w:rPr>
            </w:pPr>
            <w:r>
              <w:rPr>
                <w:bCs/>
                <w:color w:val="000000"/>
                <w:sz w:val="16"/>
                <w:szCs w:val="16"/>
                <w:lang w:val="en-GB"/>
              </w:rPr>
              <w:t>g</w:t>
            </w:r>
            <w:r w:rsidR="00704EB3" w:rsidRPr="003F2C03">
              <w:rPr>
                <w:bCs/>
                <w:color w:val="000000"/>
                <w:sz w:val="16"/>
                <w:szCs w:val="16"/>
                <w:lang w:val="en-GB"/>
              </w:rPr>
              <w:t xml:space="preserve">overnment </w:t>
            </w:r>
            <w:r>
              <w:rPr>
                <w:bCs/>
                <w:color w:val="000000"/>
                <w:sz w:val="16"/>
                <w:szCs w:val="16"/>
                <w:lang w:val="en-GB"/>
              </w:rPr>
              <w:t>r</w:t>
            </w:r>
            <w:r w:rsidR="00704EB3" w:rsidRPr="003F2C03">
              <w:rPr>
                <w:bCs/>
                <w:color w:val="000000"/>
                <w:sz w:val="16"/>
                <w:szCs w:val="16"/>
                <w:lang w:val="en-GB"/>
              </w:rPr>
              <w:t>eports</w:t>
            </w:r>
          </w:p>
          <w:p w14:paraId="57B13061" w14:textId="3FAD5B7F" w:rsidR="00704EB3" w:rsidRPr="003F2C03" w:rsidRDefault="00704EB3" w:rsidP="002C2321">
            <w:pPr>
              <w:rPr>
                <w:bCs/>
                <w:color w:val="000000"/>
                <w:sz w:val="16"/>
                <w:szCs w:val="16"/>
                <w:lang w:val="en-GB"/>
              </w:rPr>
            </w:pPr>
            <w:r w:rsidRPr="003F2C03">
              <w:rPr>
                <w:bCs/>
                <w:color w:val="000000"/>
                <w:sz w:val="16"/>
                <w:szCs w:val="16"/>
                <w:lang w:val="en-GB"/>
              </w:rPr>
              <w:t xml:space="preserve">Ministry of Labour and Social Welfare </w:t>
            </w:r>
            <w:r w:rsidR="005D7E51">
              <w:rPr>
                <w:bCs/>
                <w:color w:val="000000"/>
                <w:sz w:val="16"/>
                <w:szCs w:val="16"/>
                <w:lang w:val="en-GB"/>
              </w:rPr>
              <w:t>r</w:t>
            </w:r>
            <w:r w:rsidRPr="003F2C03">
              <w:rPr>
                <w:bCs/>
                <w:color w:val="000000"/>
                <w:sz w:val="16"/>
                <w:szCs w:val="16"/>
                <w:lang w:val="en-GB"/>
              </w:rPr>
              <w:t xml:space="preserve">epots </w:t>
            </w:r>
          </w:p>
          <w:p w14:paraId="4399D0D4" w14:textId="77777777" w:rsidR="00704EB3" w:rsidRPr="003F2C03" w:rsidRDefault="00704EB3" w:rsidP="002C2321">
            <w:pPr>
              <w:rPr>
                <w:bCs/>
                <w:color w:val="000000"/>
                <w:sz w:val="16"/>
                <w:szCs w:val="16"/>
                <w:lang w:val="en-GB"/>
              </w:rPr>
            </w:pPr>
            <w:r w:rsidRPr="003F2C03">
              <w:rPr>
                <w:bCs/>
                <w:color w:val="000000"/>
                <w:sz w:val="16"/>
                <w:szCs w:val="16"/>
                <w:lang w:val="en-GB"/>
              </w:rPr>
              <w:t xml:space="preserve">MONSTAT reports </w:t>
            </w:r>
          </w:p>
          <w:p w14:paraId="7EED3BD0" w14:textId="77777777" w:rsidR="00704EB3" w:rsidRPr="003F2C03" w:rsidRDefault="00704EB3" w:rsidP="002C2321">
            <w:pPr>
              <w:rPr>
                <w:b/>
                <w:bCs/>
                <w:color w:val="000000"/>
                <w:sz w:val="16"/>
                <w:szCs w:val="16"/>
                <w:lang w:val="en-GB"/>
              </w:rPr>
            </w:pPr>
          </w:p>
        </w:tc>
        <w:tc>
          <w:tcPr>
            <w:tcW w:w="1624" w:type="pct"/>
            <w:tcBorders>
              <w:bottom w:val="single" w:sz="4" w:space="0" w:color="auto"/>
            </w:tcBorders>
            <w:tcMar>
              <w:top w:w="72" w:type="dxa"/>
              <w:left w:w="144" w:type="dxa"/>
              <w:bottom w:w="72" w:type="dxa"/>
              <w:right w:w="144" w:type="dxa"/>
            </w:tcMar>
          </w:tcPr>
          <w:p w14:paraId="6E1CA2DB" w14:textId="0EDD9680" w:rsidR="00704EB3" w:rsidRPr="003F2C03" w:rsidRDefault="00704EB3" w:rsidP="002C2321">
            <w:pPr>
              <w:tabs>
                <w:tab w:val="left" w:pos="1742"/>
              </w:tabs>
              <w:rPr>
                <w:color w:val="000000" w:themeColor="text1"/>
                <w:sz w:val="16"/>
                <w:szCs w:val="16"/>
                <w:lang w:val="en-GB"/>
              </w:rPr>
            </w:pPr>
            <w:r w:rsidRPr="003F2C03">
              <w:rPr>
                <w:b/>
                <w:color w:val="000000" w:themeColor="text1"/>
                <w:sz w:val="16"/>
                <w:szCs w:val="16"/>
                <w:lang w:val="en-GB"/>
              </w:rPr>
              <w:t>Output 3.1</w:t>
            </w:r>
            <w:r w:rsidR="00E445CA">
              <w:rPr>
                <w:b/>
                <w:color w:val="000000" w:themeColor="text1"/>
                <w:sz w:val="16"/>
                <w:szCs w:val="16"/>
                <w:lang w:val="en-GB"/>
              </w:rPr>
              <w:t>:</w:t>
            </w:r>
            <w:r w:rsidRPr="003F2C03">
              <w:rPr>
                <w:b/>
                <w:color w:val="000000" w:themeColor="text1"/>
                <w:sz w:val="16"/>
                <w:szCs w:val="16"/>
                <w:lang w:val="en-GB"/>
              </w:rPr>
              <w:t xml:space="preserve"> </w:t>
            </w:r>
            <w:r w:rsidRPr="003F2C03">
              <w:rPr>
                <w:color w:val="000000" w:themeColor="text1"/>
                <w:sz w:val="16"/>
                <w:szCs w:val="16"/>
                <w:lang w:val="en-GB"/>
              </w:rPr>
              <w:t>Improved capacities of the Ministry of Labour and Social Welfare (MLSW) for evidence-based planning and targeting with services and cash benefits to reduce inequalities and exclusion</w:t>
            </w:r>
          </w:p>
          <w:p w14:paraId="1CA8D28C" w14:textId="77777777" w:rsidR="00704EB3" w:rsidRPr="003F2C03" w:rsidRDefault="00704EB3" w:rsidP="002C2321">
            <w:pPr>
              <w:tabs>
                <w:tab w:val="left" w:pos="1742"/>
              </w:tabs>
              <w:rPr>
                <w:b/>
                <w:color w:val="000000" w:themeColor="text1"/>
                <w:sz w:val="16"/>
                <w:szCs w:val="16"/>
                <w:lang w:val="en-GB"/>
              </w:rPr>
            </w:pPr>
          </w:p>
          <w:p w14:paraId="3A8050E7" w14:textId="65E35CAD" w:rsidR="00704EB3" w:rsidRPr="003F2C03" w:rsidRDefault="00704EB3" w:rsidP="002C2321">
            <w:pPr>
              <w:tabs>
                <w:tab w:val="left" w:pos="1742"/>
              </w:tabs>
              <w:rPr>
                <w:color w:val="000000" w:themeColor="text1"/>
                <w:sz w:val="16"/>
                <w:szCs w:val="16"/>
                <w:u w:val="single"/>
                <w:lang w:val="en-GB"/>
              </w:rPr>
            </w:pPr>
            <w:r w:rsidRPr="00E445CA">
              <w:rPr>
                <w:b/>
                <w:color w:val="000000" w:themeColor="text1"/>
                <w:sz w:val="16"/>
                <w:szCs w:val="16"/>
                <w:lang w:val="en-GB"/>
              </w:rPr>
              <w:t>Indicator 3.1.1</w:t>
            </w:r>
            <w:r w:rsidRPr="00E445CA">
              <w:rPr>
                <w:color w:val="000000" w:themeColor="text1"/>
                <w:sz w:val="16"/>
                <w:szCs w:val="16"/>
                <w:lang w:val="en-GB"/>
              </w:rPr>
              <w:t>:</w:t>
            </w:r>
            <w:r w:rsidRPr="003F2C03">
              <w:rPr>
                <w:color w:val="000000" w:themeColor="text1"/>
                <w:sz w:val="16"/>
                <w:szCs w:val="16"/>
                <w:lang w:val="en-GB"/>
              </w:rPr>
              <w:t xml:space="preserve"> Level of </w:t>
            </w:r>
            <w:r w:rsidR="000667B0">
              <w:rPr>
                <w:color w:val="000000" w:themeColor="text1"/>
                <w:sz w:val="16"/>
                <w:szCs w:val="16"/>
                <w:lang w:val="en-GB"/>
              </w:rPr>
              <w:t>i</w:t>
            </w:r>
            <w:r w:rsidRPr="003F2C03">
              <w:rPr>
                <w:color w:val="000000" w:themeColor="text1"/>
                <w:sz w:val="16"/>
                <w:szCs w:val="16"/>
                <w:lang w:val="en-GB"/>
              </w:rPr>
              <w:t>ntegrated gender-responsive case management system implemented with UNDP support</w:t>
            </w:r>
          </w:p>
          <w:p w14:paraId="67AC8116" w14:textId="5E67512E" w:rsidR="00704EB3" w:rsidRPr="003F2C03" w:rsidRDefault="00704EB3" w:rsidP="002C2321">
            <w:pPr>
              <w:tabs>
                <w:tab w:val="left" w:pos="1742"/>
              </w:tabs>
              <w:rPr>
                <w:color w:val="000000" w:themeColor="text1"/>
                <w:sz w:val="16"/>
                <w:szCs w:val="16"/>
                <w:lang w:val="en-GB" w:eastAsia="mk-MK"/>
              </w:rPr>
            </w:pPr>
            <w:r w:rsidRPr="003F2C03">
              <w:rPr>
                <w:b/>
                <w:color w:val="000000" w:themeColor="text1"/>
                <w:sz w:val="16"/>
                <w:szCs w:val="16"/>
                <w:lang w:val="en-GB" w:eastAsia="mk-MK"/>
              </w:rPr>
              <w:t xml:space="preserve">Baseline </w:t>
            </w:r>
            <w:r w:rsidRPr="00AA7688">
              <w:rPr>
                <w:color w:val="000000" w:themeColor="text1"/>
                <w:sz w:val="16"/>
                <w:szCs w:val="16"/>
                <w:lang w:val="en-GB" w:eastAsia="mk-MK"/>
              </w:rPr>
              <w:t>(2015):</w:t>
            </w:r>
            <w:r w:rsidRPr="003F2C03">
              <w:rPr>
                <w:color w:val="000000" w:themeColor="text1"/>
                <w:sz w:val="16"/>
                <w:szCs w:val="16"/>
                <w:lang w:val="en-GB" w:eastAsia="mk-MK"/>
              </w:rPr>
              <w:t xml:space="preserve"> 3 </w:t>
            </w:r>
            <w:r w:rsidR="000667B0">
              <w:rPr>
                <w:color w:val="000000" w:themeColor="text1"/>
                <w:sz w:val="16"/>
                <w:szCs w:val="16"/>
                <w:lang w:val="en-GB" w:eastAsia="mk-MK"/>
              </w:rPr>
              <w:t>(</w:t>
            </w:r>
            <w:r w:rsidRPr="003F2C03">
              <w:rPr>
                <w:color w:val="000000" w:themeColor="text1"/>
                <w:sz w:val="16"/>
                <w:szCs w:val="16"/>
                <w:lang w:val="en-GB" w:eastAsia="mk-MK"/>
              </w:rPr>
              <w:t>integrated case management partially applied</w:t>
            </w:r>
            <w:r w:rsidR="000667B0">
              <w:rPr>
                <w:color w:val="000000" w:themeColor="text1"/>
                <w:sz w:val="16"/>
                <w:szCs w:val="16"/>
                <w:lang w:val="en-GB" w:eastAsia="mk-MK"/>
              </w:rPr>
              <w:t>)</w:t>
            </w:r>
            <w:r w:rsidRPr="003F2C03">
              <w:rPr>
                <w:color w:val="000000" w:themeColor="text1"/>
                <w:sz w:val="16"/>
                <w:szCs w:val="16"/>
                <w:lang w:val="en-GB" w:eastAsia="mk-MK"/>
              </w:rPr>
              <w:t xml:space="preserve"> </w:t>
            </w:r>
          </w:p>
          <w:p w14:paraId="5FE11AA8" w14:textId="3889A290" w:rsidR="00704EB3" w:rsidRPr="003F2C03" w:rsidRDefault="00704EB3" w:rsidP="002C2321">
            <w:pPr>
              <w:tabs>
                <w:tab w:val="left" w:pos="1742"/>
              </w:tabs>
              <w:rPr>
                <w:color w:val="000000" w:themeColor="text1"/>
                <w:sz w:val="16"/>
                <w:szCs w:val="16"/>
                <w:lang w:val="en-GB" w:eastAsia="mk-MK"/>
              </w:rPr>
            </w:pPr>
            <w:r w:rsidRPr="003F2C03">
              <w:rPr>
                <w:b/>
                <w:color w:val="000000" w:themeColor="text1"/>
                <w:sz w:val="16"/>
                <w:szCs w:val="16"/>
                <w:lang w:val="en-GB" w:eastAsia="mk-MK"/>
              </w:rPr>
              <w:t xml:space="preserve">Target </w:t>
            </w:r>
            <w:r w:rsidRPr="00AA7688">
              <w:rPr>
                <w:color w:val="000000" w:themeColor="text1"/>
                <w:sz w:val="16"/>
                <w:szCs w:val="16"/>
                <w:lang w:val="en-GB" w:eastAsia="mk-MK"/>
              </w:rPr>
              <w:t>(2021):</w:t>
            </w:r>
            <w:r w:rsidRPr="003F2C03">
              <w:rPr>
                <w:color w:val="000000" w:themeColor="text1"/>
                <w:sz w:val="16"/>
                <w:szCs w:val="16"/>
                <w:lang w:val="en-GB" w:eastAsia="mk-MK"/>
              </w:rPr>
              <w:t xml:space="preserve"> 4</w:t>
            </w:r>
            <w:r w:rsidR="000667B0">
              <w:rPr>
                <w:color w:val="000000" w:themeColor="text1"/>
                <w:sz w:val="16"/>
                <w:szCs w:val="16"/>
                <w:lang w:val="en-GB" w:eastAsia="mk-MK"/>
              </w:rPr>
              <w:t xml:space="preserve"> (</w:t>
            </w:r>
            <w:r w:rsidRPr="003F2C03">
              <w:rPr>
                <w:color w:val="000000" w:themeColor="text1"/>
                <w:sz w:val="16"/>
                <w:szCs w:val="16"/>
                <w:lang w:val="en-GB" w:eastAsia="mk-MK"/>
              </w:rPr>
              <w:t>case management system with referrals fully implemented</w:t>
            </w:r>
            <w:r w:rsidR="000667B0">
              <w:rPr>
                <w:color w:val="000000" w:themeColor="text1"/>
                <w:sz w:val="16"/>
                <w:szCs w:val="16"/>
                <w:lang w:val="en-GB" w:eastAsia="mk-MK"/>
              </w:rPr>
              <w:t>)</w:t>
            </w:r>
          </w:p>
          <w:p w14:paraId="46EA204F" w14:textId="77777777" w:rsidR="00704EB3" w:rsidRPr="003F2C03" w:rsidRDefault="00704EB3" w:rsidP="002C2321">
            <w:pPr>
              <w:tabs>
                <w:tab w:val="left" w:pos="1742"/>
              </w:tabs>
              <w:rPr>
                <w:b/>
                <w:color w:val="000000" w:themeColor="text1"/>
                <w:sz w:val="16"/>
                <w:szCs w:val="16"/>
                <w:lang w:val="en-GB" w:eastAsia="mk-MK"/>
              </w:rPr>
            </w:pPr>
          </w:p>
          <w:p w14:paraId="6A23523D" w14:textId="6FAFE790" w:rsidR="00704EB3" w:rsidRPr="003F2C03" w:rsidRDefault="00704EB3" w:rsidP="002C2321">
            <w:pPr>
              <w:tabs>
                <w:tab w:val="left" w:pos="1742"/>
              </w:tabs>
              <w:rPr>
                <w:color w:val="000000" w:themeColor="text1"/>
                <w:sz w:val="16"/>
                <w:szCs w:val="16"/>
                <w:lang w:val="en-GB" w:eastAsia="mk-MK"/>
              </w:rPr>
            </w:pPr>
            <w:r w:rsidRPr="00E445CA">
              <w:rPr>
                <w:b/>
                <w:color w:val="000000" w:themeColor="text1"/>
                <w:sz w:val="16"/>
                <w:szCs w:val="16"/>
                <w:lang w:val="en-GB" w:eastAsia="mk-MK"/>
              </w:rPr>
              <w:t>Indicator 3.1.2</w:t>
            </w:r>
            <w:r w:rsidRPr="00E445CA">
              <w:rPr>
                <w:color w:val="000000" w:themeColor="text1"/>
                <w:sz w:val="16"/>
                <w:szCs w:val="16"/>
                <w:lang w:val="en-GB" w:eastAsia="mk-MK"/>
              </w:rPr>
              <w:t>:</w:t>
            </w:r>
            <w:r w:rsidRPr="003F2C03">
              <w:rPr>
                <w:color w:val="000000" w:themeColor="text1"/>
                <w:sz w:val="16"/>
                <w:szCs w:val="16"/>
                <w:lang w:val="en-GB" w:eastAsia="mk-MK"/>
              </w:rPr>
              <w:t xml:space="preserve"> Reduced exclusion error </w:t>
            </w:r>
            <w:r w:rsidR="007C4884" w:rsidRPr="003F2C03">
              <w:rPr>
                <w:color w:val="000000" w:themeColor="text1"/>
                <w:sz w:val="16"/>
                <w:szCs w:val="16"/>
                <w:lang w:val="en-GB" w:eastAsia="mk-MK"/>
              </w:rPr>
              <w:t xml:space="preserve">and improved targeting </w:t>
            </w:r>
            <w:r w:rsidRPr="003F2C03">
              <w:rPr>
                <w:color w:val="000000" w:themeColor="text1"/>
                <w:sz w:val="16"/>
                <w:szCs w:val="16"/>
                <w:lang w:val="en-GB" w:eastAsia="mk-MK"/>
              </w:rPr>
              <w:t>of social protection beneficiaries</w:t>
            </w:r>
          </w:p>
          <w:p w14:paraId="6816D915" w14:textId="4A5380DD" w:rsidR="00704EB3" w:rsidRPr="003F2C03" w:rsidRDefault="00704EB3" w:rsidP="002C2321">
            <w:pPr>
              <w:tabs>
                <w:tab w:val="left" w:pos="1742"/>
              </w:tabs>
              <w:rPr>
                <w:color w:val="000000" w:themeColor="text1"/>
                <w:sz w:val="16"/>
                <w:szCs w:val="16"/>
                <w:lang w:val="en-GB" w:eastAsia="mk-MK"/>
              </w:rPr>
            </w:pPr>
            <w:r w:rsidRPr="003F2C03">
              <w:rPr>
                <w:b/>
                <w:color w:val="000000" w:themeColor="text1"/>
                <w:sz w:val="16"/>
                <w:szCs w:val="16"/>
                <w:lang w:val="en-GB" w:eastAsia="mk-MK"/>
              </w:rPr>
              <w:t xml:space="preserve">Baseline </w:t>
            </w:r>
            <w:r w:rsidRPr="00AA7688">
              <w:rPr>
                <w:color w:val="000000" w:themeColor="text1"/>
                <w:sz w:val="16"/>
                <w:szCs w:val="16"/>
                <w:lang w:val="en-GB" w:eastAsia="mk-MK"/>
              </w:rPr>
              <w:t>(2015</w:t>
            </w:r>
            <w:r w:rsidRPr="00192886">
              <w:rPr>
                <w:color w:val="000000" w:themeColor="text1"/>
                <w:sz w:val="16"/>
                <w:szCs w:val="16"/>
                <w:lang w:val="en-GB" w:eastAsia="mk-MK"/>
              </w:rPr>
              <w:t>):</w:t>
            </w:r>
            <w:r w:rsidRPr="003F2C03">
              <w:rPr>
                <w:color w:val="000000" w:themeColor="text1"/>
                <w:sz w:val="16"/>
                <w:szCs w:val="16"/>
                <w:lang w:val="en-GB" w:eastAsia="mk-MK"/>
              </w:rPr>
              <w:t xml:space="preserve"> 35,000 vulnerable cases benefiting from 4 major cash benefits </w:t>
            </w:r>
          </w:p>
          <w:p w14:paraId="4F92DC2F" w14:textId="00837A60" w:rsidR="00704EB3" w:rsidRPr="003F2C03" w:rsidRDefault="00704EB3" w:rsidP="002C2321">
            <w:pPr>
              <w:tabs>
                <w:tab w:val="left" w:pos="1742"/>
              </w:tabs>
              <w:rPr>
                <w:color w:val="000000" w:themeColor="text1"/>
                <w:sz w:val="16"/>
                <w:szCs w:val="16"/>
                <w:lang w:val="en-GB" w:eastAsia="mk-MK"/>
              </w:rPr>
            </w:pPr>
            <w:r w:rsidRPr="003F2C03">
              <w:rPr>
                <w:b/>
                <w:color w:val="000000" w:themeColor="text1"/>
                <w:sz w:val="16"/>
                <w:szCs w:val="16"/>
                <w:lang w:val="en-GB" w:eastAsia="mk-MK"/>
              </w:rPr>
              <w:t xml:space="preserve">Target </w:t>
            </w:r>
            <w:r w:rsidRPr="00AA7688">
              <w:rPr>
                <w:color w:val="000000" w:themeColor="text1"/>
                <w:sz w:val="16"/>
                <w:szCs w:val="16"/>
                <w:lang w:val="en-GB" w:eastAsia="mk-MK"/>
              </w:rPr>
              <w:t>(2020):</w:t>
            </w:r>
            <w:r w:rsidRPr="003F2C03">
              <w:rPr>
                <w:color w:val="000000" w:themeColor="text1"/>
                <w:sz w:val="16"/>
                <w:szCs w:val="16"/>
                <w:lang w:val="en-GB" w:eastAsia="mk-MK"/>
              </w:rPr>
              <w:t xml:space="preserve"> </w:t>
            </w:r>
            <w:r w:rsidR="00192886">
              <w:rPr>
                <w:color w:val="000000" w:themeColor="text1"/>
                <w:sz w:val="16"/>
                <w:szCs w:val="16"/>
                <w:lang w:val="en-GB" w:eastAsia="mk-MK"/>
              </w:rPr>
              <w:t>N</w:t>
            </w:r>
            <w:r w:rsidRPr="003F2C03">
              <w:rPr>
                <w:color w:val="000000" w:themeColor="text1"/>
                <w:sz w:val="16"/>
                <w:szCs w:val="16"/>
                <w:lang w:val="en-GB" w:eastAsia="mk-MK"/>
              </w:rPr>
              <w:t xml:space="preserve">umber of beneficiaries accessing social assistance programmes increased by 5% </w:t>
            </w:r>
          </w:p>
          <w:p w14:paraId="45A19530" w14:textId="77777777" w:rsidR="00704EB3" w:rsidRPr="003F2C03" w:rsidRDefault="00704EB3" w:rsidP="002C2321">
            <w:pPr>
              <w:tabs>
                <w:tab w:val="left" w:pos="1742"/>
              </w:tabs>
              <w:rPr>
                <w:color w:val="000000" w:themeColor="text1"/>
                <w:sz w:val="16"/>
                <w:szCs w:val="16"/>
                <w:lang w:val="en-GB" w:eastAsia="mk-MK"/>
              </w:rPr>
            </w:pPr>
            <w:r w:rsidRPr="003F2C03">
              <w:rPr>
                <w:b/>
                <w:iCs/>
                <w:color w:val="000000" w:themeColor="text1"/>
                <w:sz w:val="16"/>
                <w:szCs w:val="16"/>
                <w:lang w:val="en-GB"/>
              </w:rPr>
              <w:t>Means of verification:</w:t>
            </w:r>
            <w:r w:rsidRPr="003F2C03">
              <w:rPr>
                <w:iCs/>
                <w:color w:val="000000" w:themeColor="text1"/>
                <w:sz w:val="16"/>
                <w:szCs w:val="16"/>
                <w:lang w:val="en-GB"/>
              </w:rPr>
              <w:t xml:space="preserve"> </w:t>
            </w:r>
            <w:r w:rsidRPr="003F2C03">
              <w:rPr>
                <w:color w:val="000000" w:themeColor="text1"/>
                <w:sz w:val="16"/>
                <w:szCs w:val="16"/>
                <w:lang w:val="en-GB" w:eastAsia="mk-MK"/>
              </w:rPr>
              <w:t>MLSW reports</w:t>
            </w:r>
          </w:p>
          <w:p w14:paraId="72D691D4" w14:textId="77777777" w:rsidR="00704EB3" w:rsidRPr="003F2C03" w:rsidRDefault="00704EB3" w:rsidP="002C2321">
            <w:pPr>
              <w:tabs>
                <w:tab w:val="left" w:pos="1742"/>
              </w:tabs>
              <w:rPr>
                <w:b/>
                <w:color w:val="000000" w:themeColor="text1"/>
                <w:sz w:val="16"/>
                <w:szCs w:val="16"/>
                <w:lang w:val="en-GB"/>
              </w:rPr>
            </w:pPr>
          </w:p>
          <w:p w14:paraId="2CA566D5" w14:textId="77777777" w:rsidR="00704EB3" w:rsidRPr="003F2C03" w:rsidRDefault="00704EB3" w:rsidP="002C2321">
            <w:pPr>
              <w:tabs>
                <w:tab w:val="left" w:pos="1742"/>
              </w:tabs>
              <w:rPr>
                <w:color w:val="000000" w:themeColor="text1"/>
                <w:sz w:val="16"/>
                <w:szCs w:val="16"/>
                <w:lang w:val="en-GB"/>
              </w:rPr>
            </w:pPr>
            <w:r w:rsidRPr="003F2C03">
              <w:rPr>
                <w:b/>
                <w:color w:val="000000" w:themeColor="text1"/>
                <w:sz w:val="16"/>
                <w:szCs w:val="16"/>
                <w:lang w:val="en-GB"/>
              </w:rPr>
              <w:t>Output 3.2.</w:t>
            </w:r>
            <w:r w:rsidRPr="003F2C03">
              <w:rPr>
                <w:color w:val="000000" w:themeColor="text1"/>
                <w:sz w:val="16"/>
                <w:szCs w:val="16"/>
                <w:lang w:val="en-GB"/>
              </w:rPr>
              <w:t xml:space="preserve"> Vulnerable populations (elderly, women, Roma) benefiting from new standardized local level social services </w:t>
            </w:r>
          </w:p>
          <w:p w14:paraId="6066B3BF" w14:textId="78DDE6B7" w:rsidR="00704EB3" w:rsidRPr="003F2C03" w:rsidRDefault="00704EB3" w:rsidP="002C2321">
            <w:pPr>
              <w:tabs>
                <w:tab w:val="left" w:pos="1742"/>
              </w:tabs>
              <w:rPr>
                <w:color w:val="000000" w:themeColor="text1"/>
                <w:sz w:val="16"/>
                <w:szCs w:val="16"/>
                <w:lang w:val="en-GB"/>
              </w:rPr>
            </w:pPr>
            <w:r w:rsidRPr="00E445CA">
              <w:rPr>
                <w:b/>
                <w:color w:val="000000" w:themeColor="text1"/>
                <w:sz w:val="16"/>
                <w:szCs w:val="16"/>
                <w:lang w:val="en-GB"/>
              </w:rPr>
              <w:t>Indicator 3.2.1</w:t>
            </w:r>
            <w:r w:rsidR="00192886" w:rsidRPr="00E445CA">
              <w:rPr>
                <w:b/>
                <w:color w:val="000000" w:themeColor="text1"/>
                <w:sz w:val="16"/>
                <w:szCs w:val="16"/>
                <w:lang w:val="en-GB"/>
              </w:rPr>
              <w:t>:</w:t>
            </w:r>
            <w:r w:rsidRPr="003F2C03">
              <w:rPr>
                <w:b/>
                <w:color w:val="000000" w:themeColor="text1"/>
                <w:sz w:val="16"/>
                <w:szCs w:val="16"/>
                <w:lang w:val="en-GB"/>
              </w:rPr>
              <w:t xml:space="preserve"> </w:t>
            </w:r>
            <w:r w:rsidR="00192886">
              <w:rPr>
                <w:color w:val="000000" w:themeColor="text1"/>
                <w:sz w:val="16"/>
                <w:szCs w:val="16"/>
                <w:lang w:val="en-GB"/>
              </w:rPr>
              <w:t>N</w:t>
            </w:r>
            <w:r w:rsidRPr="003F2C03">
              <w:rPr>
                <w:color w:val="000000" w:themeColor="text1"/>
                <w:sz w:val="16"/>
                <w:szCs w:val="16"/>
                <w:lang w:val="en-GB"/>
              </w:rPr>
              <w:t>umber of people served</w:t>
            </w:r>
          </w:p>
          <w:p w14:paraId="15AADFD5" w14:textId="73E905C5" w:rsidR="00192886" w:rsidRDefault="00704EB3" w:rsidP="002C2321">
            <w:pPr>
              <w:tabs>
                <w:tab w:val="left" w:pos="1742"/>
              </w:tabs>
              <w:rPr>
                <w:color w:val="000000" w:themeColor="text1"/>
                <w:sz w:val="16"/>
                <w:szCs w:val="16"/>
                <w:lang w:val="en-GB"/>
              </w:rPr>
            </w:pPr>
            <w:r w:rsidRPr="003F2C03">
              <w:rPr>
                <w:b/>
                <w:color w:val="000000" w:themeColor="text1"/>
                <w:sz w:val="16"/>
                <w:szCs w:val="16"/>
                <w:lang w:val="en-GB"/>
              </w:rPr>
              <w:t>Baseline</w:t>
            </w:r>
            <w:r w:rsidRPr="003F2C03">
              <w:rPr>
                <w:color w:val="000000" w:themeColor="text1"/>
                <w:sz w:val="16"/>
                <w:szCs w:val="16"/>
                <w:lang w:val="en-GB"/>
              </w:rPr>
              <w:t xml:space="preserve"> </w:t>
            </w:r>
            <w:r w:rsidRPr="00AA7688">
              <w:rPr>
                <w:b/>
                <w:color w:val="000000" w:themeColor="text1"/>
                <w:sz w:val="16"/>
                <w:szCs w:val="16"/>
                <w:lang w:val="en-GB"/>
              </w:rPr>
              <w:t>(2015):</w:t>
            </w:r>
            <w:r w:rsidR="00192886">
              <w:rPr>
                <w:color w:val="000000" w:themeColor="text1"/>
                <w:sz w:val="16"/>
                <w:szCs w:val="16"/>
                <w:lang w:val="en-GB"/>
              </w:rPr>
              <w:t xml:space="preserve"> </w:t>
            </w:r>
            <w:r w:rsidRPr="003F2C03">
              <w:rPr>
                <w:color w:val="000000" w:themeColor="text1"/>
                <w:sz w:val="16"/>
                <w:szCs w:val="16"/>
                <w:lang w:val="en-GB"/>
              </w:rPr>
              <w:t>9</w:t>
            </w:r>
            <w:r w:rsidRPr="003F2C03">
              <w:rPr>
                <w:iCs/>
                <w:color w:val="000000" w:themeColor="text1"/>
                <w:sz w:val="16"/>
                <w:szCs w:val="16"/>
                <w:lang w:val="en-GB"/>
              </w:rPr>
              <w:t>00</w:t>
            </w:r>
            <w:r w:rsidRPr="003F2C03">
              <w:rPr>
                <w:color w:val="000000" w:themeColor="text1"/>
                <w:sz w:val="16"/>
                <w:szCs w:val="16"/>
                <w:lang w:val="en-GB"/>
              </w:rPr>
              <w:t xml:space="preserve"> </w:t>
            </w:r>
          </w:p>
          <w:p w14:paraId="5F0A9355" w14:textId="18C839E9" w:rsidR="00704EB3" w:rsidRPr="003F2C03" w:rsidRDefault="00704EB3" w:rsidP="002C2321">
            <w:pPr>
              <w:tabs>
                <w:tab w:val="left" w:pos="1742"/>
              </w:tabs>
              <w:rPr>
                <w:color w:val="000000" w:themeColor="text1"/>
                <w:sz w:val="16"/>
                <w:szCs w:val="16"/>
                <w:u w:val="single"/>
                <w:lang w:val="en-GB"/>
              </w:rPr>
            </w:pPr>
            <w:r w:rsidRPr="00AA7688">
              <w:rPr>
                <w:b/>
                <w:color w:val="000000" w:themeColor="text1"/>
                <w:sz w:val="16"/>
                <w:szCs w:val="16"/>
                <w:lang w:val="en-GB"/>
              </w:rPr>
              <w:t>T</w:t>
            </w:r>
            <w:r w:rsidRPr="003F2C03">
              <w:rPr>
                <w:b/>
                <w:color w:val="000000" w:themeColor="text1"/>
                <w:sz w:val="16"/>
                <w:szCs w:val="16"/>
                <w:lang w:val="en-GB"/>
              </w:rPr>
              <w:t xml:space="preserve">arget </w:t>
            </w:r>
            <w:r w:rsidRPr="00AA7688">
              <w:rPr>
                <w:b/>
                <w:color w:val="000000" w:themeColor="text1"/>
                <w:sz w:val="16"/>
                <w:szCs w:val="16"/>
                <w:lang w:val="en-GB"/>
              </w:rPr>
              <w:t>(2020):</w:t>
            </w:r>
            <w:r w:rsidRPr="00AA7688">
              <w:rPr>
                <w:color w:val="000000" w:themeColor="text1"/>
                <w:sz w:val="16"/>
                <w:szCs w:val="16"/>
                <w:lang w:val="en-GB"/>
              </w:rPr>
              <w:t xml:space="preserve"> </w:t>
            </w:r>
            <w:r w:rsidRPr="003F2C03">
              <w:rPr>
                <w:iCs/>
                <w:color w:val="000000" w:themeColor="text1"/>
                <w:sz w:val="16"/>
                <w:szCs w:val="16"/>
                <w:lang w:val="en-GB"/>
              </w:rPr>
              <w:t>2,</w:t>
            </w:r>
            <w:r w:rsidR="00616E7D">
              <w:rPr>
                <w:iCs/>
                <w:color w:val="000000" w:themeColor="text1"/>
                <w:sz w:val="16"/>
                <w:szCs w:val="16"/>
                <w:lang w:val="en-GB"/>
              </w:rPr>
              <w:t>1</w:t>
            </w:r>
            <w:r w:rsidRPr="003F2C03">
              <w:rPr>
                <w:iCs/>
                <w:color w:val="000000" w:themeColor="text1"/>
                <w:sz w:val="16"/>
                <w:szCs w:val="16"/>
                <w:lang w:val="en-GB"/>
              </w:rPr>
              <w:t>00</w:t>
            </w:r>
            <w:r w:rsidR="00192886">
              <w:rPr>
                <w:iCs/>
                <w:color w:val="000000" w:themeColor="text1"/>
                <w:sz w:val="16"/>
                <w:szCs w:val="16"/>
                <w:lang w:val="en-GB"/>
              </w:rPr>
              <w:t>;</w:t>
            </w:r>
            <w:r w:rsidRPr="003F2C03">
              <w:rPr>
                <w:iCs/>
                <w:color w:val="000000" w:themeColor="text1"/>
                <w:sz w:val="16"/>
                <w:szCs w:val="16"/>
                <w:lang w:val="en-GB"/>
              </w:rPr>
              <w:t xml:space="preserve"> </w:t>
            </w:r>
            <w:r w:rsidR="00192886">
              <w:rPr>
                <w:iCs/>
                <w:color w:val="000000" w:themeColor="text1"/>
                <w:sz w:val="16"/>
                <w:szCs w:val="16"/>
                <w:lang w:val="en-GB"/>
              </w:rPr>
              <w:t>m</w:t>
            </w:r>
            <w:r w:rsidRPr="003F2C03">
              <w:rPr>
                <w:sz w:val="16"/>
                <w:szCs w:val="16"/>
              </w:rPr>
              <w:t>ale</w:t>
            </w:r>
            <w:r w:rsidR="00192886">
              <w:rPr>
                <w:sz w:val="16"/>
                <w:szCs w:val="16"/>
              </w:rPr>
              <w:t xml:space="preserve">, </w:t>
            </w:r>
            <w:r w:rsidRPr="003F2C03">
              <w:rPr>
                <w:sz w:val="16"/>
                <w:szCs w:val="16"/>
              </w:rPr>
              <w:t>850</w:t>
            </w:r>
            <w:r w:rsidR="00192886">
              <w:rPr>
                <w:sz w:val="16"/>
                <w:szCs w:val="16"/>
              </w:rPr>
              <w:t>; f</w:t>
            </w:r>
            <w:r w:rsidRPr="003F2C03">
              <w:rPr>
                <w:sz w:val="16"/>
                <w:szCs w:val="16"/>
              </w:rPr>
              <w:t>emale</w:t>
            </w:r>
            <w:r w:rsidR="00192886">
              <w:rPr>
                <w:sz w:val="16"/>
                <w:szCs w:val="16"/>
              </w:rPr>
              <w:t>,</w:t>
            </w:r>
            <w:r w:rsidRPr="003F2C03">
              <w:rPr>
                <w:sz w:val="16"/>
                <w:szCs w:val="16"/>
              </w:rPr>
              <w:t xml:space="preserve"> 1,250</w:t>
            </w:r>
          </w:p>
          <w:p w14:paraId="4B4F2059" w14:textId="77777777" w:rsidR="00704EB3" w:rsidRPr="003F2C03" w:rsidRDefault="00704EB3" w:rsidP="002C2321">
            <w:pPr>
              <w:tabs>
                <w:tab w:val="left" w:pos="1742"/>
              </w:tabs>
              <w:rPr>
                <w:color w:val="000000" w:themeColor="text1"/>
                <w:sz w:val="16"/>
                <w:szCs w:val="16"/>
                <w:lang w:val="en-GB" w:eastAsia="mk-MK"/>
              </w:rPr>
            </w:pPr>
            <w:r w:rsidRPr="003F2C03">
              <w:rPr>
                <w:b/>
                <w:iCs/>
                <w:color w:val="000000" w:themeColor="text1"/>
                <w:sz w:val="16"/>
                <w:szCs w:val="16"/>
                <w:lang w:val="en-GB"/>
              </w:rPr>
              <w:t>Means of verification:</w:t>
            </w:r>
            <w:r w:rsidRPr="003F2C03">
              <w:rPr>
                <w:iCs/>
                <w:color w:val="000000" w:themeColor="text1"/>
                <w:sz w:val="16"/>
                <w:szCs w:val="16"/>
                <w:lang w:val="en-GB"/>
              </w:rPr>
              <w:t xml:space="preserve"> </w:t>
            </w:r>
            <w:r w:rsidRPr="003F2C03">
              <w:rPr>
                <w:color w:val="000000" w:themeColor="text1"/>
                <w:sz w:val="16"/>
                <w:szCs w:val="16"/>
                <w:lang w:val="en-GB" w:eastAsia="mk-MK"/>
              </w:rPr>
              <w:t>MLSW reports</w:t>
            </w:r>
          </w:p>
          <w:p w14:paraId="33C301C4" w14:textId="77777777" w:rsidR="00704EB3" w:rsidRPr="003F2C03" w:rsidRDefault="00704EB3" w:rsidP="002C2321">
            <w:pPr>
              <w:tabs>
                <w:tab w:val="left" w:pos="1742"/>
              </w:tabs>
              <w:rPr>
                <w:b/>
                <w:sz w:val="16"/>
                <w:szCs w:val="16"/>
                <w:lang w:val="en-GB"/>
              </w:rPr>
            </w:pPr>
          </w:p>
          <w:p w14:paraId="5B278688" w14:textId="1AC73B96" w:rsidR="00704EB3" w:rsidRPr="003F2C03" w:rsidRDefault="00704EB3" w:rsidP="002C2321">
            <w:pPr>
              <w:tabs>
                <w:tab w:val="left" w:pos="1742"/>
              </w:tabs>
              <w:rPr>
                <w:sz w:val="16"/>
                <w:szCs w:val="16"/>
                <w:lang w:val="en-GB"/>
              </w:rPr>
            </w:pPr>
            <w:r w:rsidRPr="003F2C03">
              <w:rPr>
                <w:b/>
                <w:sz w:val="16"/>
                <w:szCs w:val="16"/>
                <w:lang w:val="en-GB"/>
              </w:rPr>
              <w:t>Output 3.3</w:t>
            </w:r>
            <w:r w:rsidR="00192886">
              <w:rPr>
                <w:b/>
                <w:sz w:val="16"/>
                <w:szCs w:val="16"/>
                <w:lang w:val="en-GB"/>
              </w:rPr>
              <w:t>:</w:t>
            </w:r>
            <w:r w:rsidRPr="003F2C03">
              <w:rPr>
                <w:sz w:val="16"/>
                <w:szCs w:val="16"/>
                <w:lang w:val="en-GB"/>
              </w:rPr>
              <w:t xml:space="preserve"> </w:t>
            </w:r>
            <w:r w:rsidRPr="003F2C03">
              <w:rPr>
                <w:sz w:val="16"/>
                <w:szCs w:val="16"/>
              </w:rPr>
              <w:t>Improved social and institutional responsiveness to promotion, protection and enforcement of anti-discrimination and gender equality policies for equal opportunities of women</w:t>
            </w:r>
            <w:r w:rsidRPr="003F2C03">
              <w:rPr>
                <w:sz w:val="16"/>
                <w:szCs w:val="16"/>
                <w:lang w:val="en-GB"/>
              </w:rPr>
              <w:t xml:space="preserve"> </w:t>
            </w:r>
          </w:p>
          <w:p w14:paraId="13A21304" w14:textId="77777777" w:rsidR="00704EB3" w:rsidRPr="003F2C03" w:rsidRDefault="00704EB3" w:rsidP="002C2321">
            <w:pPr>
              <w:tabs>
                <w:tab w:val="left" w:pos="1742"/>
              </w:tabs>
              <w:rPr>
                <w:b/>
                <w:sz w:val="16"/>
                <w:szCs w:val="16"/>
                <w:lang w:val="en-GB"/>
              </w:rPr>
            </w:pPr>
          </w:p>
          <w:p w14:paraId="46FB25F1" w14:textId="55891AE3" w:rsidR="00704EB3" w:rsidRPr="003F2C03" w:rsidRDefault="00704EB3" w:rsidP="002C2321">
            <w:pPr>
              <w:tabs>
                <w:tab w:val="left" w:pos="1742"/>
              </w:tabs>
              <w:rPr>
                <w:sz w:val="16"/>
                <w:szCs w:val="16"/>
                <w:lang w:val="en-GB"/>
              </w:rPr>
            </w:pPr>
            <w:r w:rsidRPr="00E445CA">
              <w:rPr>
                <w:b/>
                <w:sz w:val="16"/>
                <w:szCs w:val="16"/>
                <w:lang w:val="en-GB"/>
              </w:rPr>
              <w:t>Indicator 3.3.1:</w:t>
            </w:r>
            <w:r w:rsidRPr="003F2C03">
              <w:rPr>
                <w:b/>
                <w:sz w:val="16"/>
                <w:szCs w:val="16"/>
                <w:lang w:val="en-GB"/>
              </w:rPr>
              <w:t xml:space="preserve"> </w:t>
            </w:r>
            <w:r w:rsidR="00AA0543">
              <w:rPr>
                <w:sz w:val="16"/>
                <w:szCs w:val="16"/>
                <w:lang w:val="en-GB"/>
              </w:rPr>
              <w:t>Per cent</w:t>
            </w:r>
            <w:r w:rsidRPr="003F2C03">
              <w:rPr>
                <w:sz w:val="16"/>
                <w:szCs w:val="16"/>
                <w:lang w:val="en-GB"/>
              </w:rPr>
              <w:t xml:space="preserve"> of fulfilment of the National Action Plan for Gender Equality targeted goals in segments of women’s empowerment in economy, decision</w:t>
            </w:r>
            <w:r w:rsidR="00192886">
              <w:rPr>
                <w:sz w:val="16"/>
                <w:szCs w:val="16"/>
                <w:lang w:val="en-GB"/>
              </w:rPr>
              <w:t>-</w:t>
            </w:r>
            <w:r w:rsidRPr="003F2C03">
              <w:rPr>
                <w:sz w:val="16"/>
                <w:szCs w:val="16"/>
                <w:lang w:val="en-GB"/>
              </w:rPr>
              <w:t xml:space="preserve">making and protection of victims of violence </w:t>
            </w:r>
          </w:p>
          <w:p w14:paraId="1660F071" w14:textId="3B03C2CE" w:rsidR="00704EB3" w:rsidRPr="003F2C03" w:rsidRDefault="00704EB3" w:rsidP="002C2321">
            <w:pPr>
              <w:tabs>
                <w:tab w:val="left" w:pos="1742"/>
              </w:tabs>
              <w:rPr>
                <w:sz w:val="16"/>
                <w:szCs w:val="16"/>
                <w:lang w:val="en-GB"/>
              </w:rPr>
            </w:pPr>
            <w:r w:rsidRPr="003F2C03">
              <w:rPr>
                <w:b/>
                <w:sz w:val="16"/>
                <w:szCs w:val="16"/>
                <w:lang w:val="en-GB"/>
              </w:rPr>
              <w:t>Baseline</w:t>
            </w:r>
            <w:r w:rsidRPr="003F2C03">
              <w:rPr>
                <w:sz w:val="16"/>
                <w:szCs w:val="16"/>
                <w:lang w:val="en-GB"/>
              </w:rPr>
              <w:t xml:space="preserve"> </w:t>
            </w:r>
            <w:r w:rsidRPr="00AA7688">
              <w:rPr>
                <w:b/>
                <w:sz w:val="16"/>
                <w:szCs w:val="16"/>
                <w:lang w:val="en-GB"/>
              </w:rPr>
              <w:t>(2015)</w:t>
            </w:r>
            <w:r w:rsidR="00192886" w:rsidRPr="00AA7688">
              <w:rPr>
                <w:b/>
                <w:sz w:val="16"/>
                <w:szCs w:val="16"/>
                <w:lang w:val="en-GB"/>
              </w:rPr>
              <w:t>:</w:t>
            </w:r>
            <w:r w:rsidRPr="003F2C03">
              <w:rPr>
                <w:sz w:val="16"/>
                <w:szCs w:val="16"/>
                <w:lang w:val="en-GB"/>
              </w:rPr>
              <w:t xml:space="preserve"> 0% </w:t>
            </w:r>
          </w:p>
          <w:p w14:paraId="1FF4DB25" w14:textId="50411722" w:rsidR="00704EB3" w:rsidRPr="003F2C03" w:rsidRDefault="00704EB3" w:rsidP="002C2321">
            <w:pPr>
              <w:tabs>
                <w:tab w:val="left" w:pos="1742"/>
              </w:tabs>
              <w:rPr>
                <w:sz w:val="16"/>
                <w:szCs w:val="16"/>
                <w:lang w:val="en-GB"/>
              </w:rPr>
            </w:pPr>
            <w:r w:rsidRPr="00E445CA">
              <w:rPr>
                <w:b/>
                <w:sz w:val="16"/>
                <w:szCs w:val="16"/>
                <w:lang w:val="en-GB"/>
              </w:rPr>
              <w:t>Targe</w:t>
            </w:r>
            <w:r w:rsidRPr="00AA7688">
              <w:rPr>
                <w:b/>
                <w:sz w:val="16"/>
                <w:szCs w:val="16"/>
                <w:lang w:val="en-GB"/>
              </w:rPr>
              <w:t>t</w:t>
            </w:r>
            <w:r w:rsidR="00192886" w:rsidRPr="00AA7688">
              <w:rPr>
                <w:b/>
                <w:sz w:val="16"/>
                <w:szCs w:val="16"/>
                <w:lang w:val="en-GB"/>
              </w:rPr>
              <w:t xml:space="preserve"> (2021)</w:t>
            </w:r>
            <w:r w:rsidRPr="00AA7688">
              <w:rPr>
                <w:b/>
                <w:sz w:val="16"/>
                <w:szCs w:val="16"/>
                <w:lang w:val="en-GB"/>
              </w:rPr>
              <w:t>:</w:t>
            </w:r>
            <w:r w:rsidRPr="003F2C03">
              <w:rPr>
                <w:sz w:val="16"/>
                <w:szCs w:val="16"/>
                <w:lang w:val="en-GB"/>
              </w:rPr>
              <w:t xml:space="preserve"> </w:t>
            </w:r>
            <w:r w:rsidR="00192886">
              <w:rPr>
                <w:sz w:val="16"/>
                <w:szCs w:val="16"/>
                <w:lang w:val="en-GB"/>
              </w:rPr>
              <w:t>A</w:t>
            </w:r>
            <w:r w:rsidRPr="003F2C03">
              <w:rPr>
                <w:sz w:val="16"/>
                <w:szCs w:val="16"/>
                <w:lang w:val="en-GB"/>
              </w:rPr>
              <w:t>t least 80% plan</w:t>
            </w:r>
            <w:r w:rsidR="00901E89">
              <w:rPr>
                <w:sz w:val="16"/>
                <w:szCs w:val="16"/>
                <w:lang w:val="en-GB"/>
              </w:rPr>
              <w:t>n</w:t>
            </w:r>
            <w:r w:rsidRPr="003F2C03">
              <w:rPr>
                <w:sz w:val="16"/>
                <w:szCs w:val="16"/>
                <w:lang w:val="en-GB"/>
              </w:rPr>
              <w:t xml:space="preserve">ed measures fulfilled with UNDP support </w:t>
            </w:r>
          </w:p>
          <w:p w14:paraId="0F87E7D8" w14:textId="77777777" w:rsidR="00704EB3" w:rsidRPr="003F2C03" w:rsidRDefault="00704EB3" w:rsidP="002C2321">
            <w:pPr>
              <w:tabs>
                <w:tab w:val="left" w:pos="1742"/>
              </w:tabs>
              <w:rPr>
                <w:sz w:val="16"/>
                <w:szCs w:val="16"/>
                <w:lang w:val="en-GB"/>
              </w:rPr>
            </w:pPr>
          </w:p>
          <w:p w14:paraId="6BD6154B" w14:textId="5555FA11" w:rsidR="00704EB3" w:rsidRPr="003F2C03" w:rsidRDefault="00704EB3" w:rsidP="002C2321">
            <w:pPr>
              <w:tabs>
                <w:tab w:val="left" w:pos="1742"/>
              </w:tabs>
              <w:rPr>
                <w:sz w:val="16"/>
                <w:szCs w:val="16"/>
                <w:lang w:val="en-GB"/>
              </w:rPr>
            </w:pPr>
            <w:r w:rsidRPr="00E445CA">
              <w:rPr>
                <w:b/>
                <w:sz w:val="16"/>
                <w:szCs w:val="16"/>
                <w:lang w:val="en-GB"/>
              </w:rPr>
              <w:t>Indicator 3.3.2</w:t>
            </w:r>
            <w:r w:rsidR="00E445CA">
              <w:rPr>
                <w:sz w:val="16"/>
                <w:szCs w:val="16"/>
                <w:lang w:val="en-GB"/>
              </w:rPr>
              <w:t>:</w:t>
            </w:r>
            <w:r w:rsidR="00A64C28">
              <w:rPr>
                <w:sz w:val="16"/>
                <w:szCs w:val="16"/>
                <w:lang w:val="en-GB"/>
              </w:rPr>
              <w:t xml:space="preserve"> Per cent</w:t>
            </w:r>
            <w:r w:rsidRPr="003F2C03">
              <w:rPr>
                <w:sz w:val="16"/>
                <w:szCs w:val="16"/>
                <w:lang w:val="en-GB"/>
              </w:rPr>
              <w:t xml:space="preserve"> of seats in National Parliament occupied by women who were trained by UNDP</w:t>
            </w:r>
          </w:p>
          <w:p w14:paraId="0EFBD78F" w14:textId="38E8429C" w:rsidR="00704EB3" w:rsidRPr="003F2C03" w:rsidRDefault="00704EB3" w:rsidP="002C2321">
            <w:pPr>
              <w:tabs>
                <w:tab w:val="left" w:pos="1742"/>
              </w:tabs>
              <w:rPr>
                <w:sz w:val="16"/>
                <w:szCs w:val="16"/>
                <w:lang w:val="en-GB"/>
              </w:rPr>
            </w:pPr>
            <w:r w:rsidRPr="003F2C03">
              <w:rPr>
                <w:b/>
                <w:sz w:val="16"/>
                <w:szCs w:val="16"/>
                <w:lang w:val="en-GB"/>
              </w:rPr>
              <w:t>Baseline</w:t>
            </w:r>
            <w:r w:rsidR="00A64C28">
              <w:rPr>
                <w:b/>
                <w:sz w:val="16"/>
                <w:szCs w:val="16"/>
                <w:lang w:val="en-GB"/>
              </w:rPr>
              <w:t xml:space="preserve"> (2016)</w:t>
            </w:r>
            <w:r w:rsidR="00A64C28">
              <w:rPr>
                <w:sz w:val="16"/>
                <w:szCs w:val="16"/>
                <w:lang w:val="en-GB"/>
              </w:rPr>
              <w:t>:</w:t>
            </w:r>
            <w:r w:rsidRPr="003F2C03">
              <w:rPr>
                <w:sz w:val="16"/>
                <w:szCs w:val="16"/>
                <w:lang w:val="en-GB"/>
              </w:rPr>
              <w:t xml:space="preserve"> 17% </w:t>
            </w:r>
          </w:p>
          <w:p w14:paraId="6E893F6B" w14:textId="3A71B47D" w:rsidR="00704EB3" w:rsidRPr="003F2C03" w:rsidRDefault="00704EB3" w:rsidP="002C2321">
            <w:pPr>
              <w:tabs>
                <w:tab w:val="left" w:pos="1742"/>
              </w:tabs>
              <w:rPr>
                <w:sz w:val="16"/>
                <w:szCs w:val="16"/>
                <w:lang w:val="en-GB"/>
              </w:rPr>
            </w:pPr>
            <w:r w:rsidRPr="003F2C03">
              <w:rPr>
                <w:b/>
                <w:sz w:val="16"/>
                <w:szCs w:val="16"/>
                <w:lang w:val="en-GB"/>
              </w:rPr>
              <w:t>Target</w:t>
            </w:r>
            <w:r w:rsidR="00A64C28">
              <w:rPr>
                <w:b/>
                <w:sz w:val="16"/>
                <w:szCs w:val="16"/>
                <w:lang w:val="en-GB"/>
              </w:rPr>
              <w:t xml:space="preserve"> (2018)</w:t>
            </w:r>
            <w:r w:rsidRPr="003F2C03">
              <w:rPr>
                <w:sz w:val="16"/>
                <w:szCs w:val="16"/>
                <w:lang w:val="en-GB"/>
              </w:rPr>
              <w:t xml:space="preserve">: </w:t>
            </w:r>
            <w:r w:rsidR="00A64C28">
              <w:rPr>
                <w:sz w:val="16"/>
                <w:szCs w:val="16"/>
                <w:lang w:val="en-GB"/>
              </w:rPr>
              <w:t>A</w:t>
            </w:r>
            <w:r w:rsidRPr="003F2C03">
              <w:rPr>
                <w:sz w:val="16"/>
                <w:szCs w:val="16"/>
                <w:lang w:val="en-GB"/>
              </w:rPr>
              <w:t xml:space="preserve">t least 30% </w:t>
            </w:r>
          </w:p>
          <w:p w14:paraId="2252EE19" w14:textId="7F99F4AD" w:rsidR="00704EB3" w:rsidRPr="003F2C03" w:rsidRDefault="00704EB3" w:rsidP="002C2321">
            <w:pPr>
              <w:tabs>
                <w:tab w:val="left" w:pos="1742"/>
              </w:tabs>
              <w:rPr>
                <w:sz w:val="16"/>
                <w:szCs w:val="16"/>
                <w:lang w:val="en-GB"/>
              </w:rPr>
            </w:pPr>
            <w:r w:rsidRPr="003F2C03">
              <w:rPr>
                <w:b/>
                <w:iCs/>
                <w:sz w:val="16"/>
                <w:szCs w:val="16"/>
                <w:lang w:val="en-GB"/>
              </w:rPr>
              <w:t>Means of verification:</w:t>
            </w:r>
            <w:r w:rsidRPr="003F2C03">
              <w:rPr>
                <w:iCs/>
                <w:sz w:val="16"/>
                <w:szCs w:val="16"/>
                <w:lang w:val="en-GB"/>
              </w:rPr>
              <w:t xml:space="preserve"> </w:t>
            </w:r>
            <w:r w:rsidRPr="003F2C03">
              <w:rPr>
                <w:sz w:val="16"/>
                <w:szCs w:val="16"/>
                <w:lang w:val="en-GB"/>
              </w:rPr>
              <w:t>Official Gazette</w:t>
            </w:r>
          </w:p>
        </w:tc>
        <w:tc>
          <w:tcPr>
            <w:tcW w:w="705" w:type="pct"/>
            <w:gridSpan w:val="2"/>
            <w:tcBorders>
              <w:bottom w:val="single" w:sz="4" w:space="0" w:color="auto"/>
            </w:tcBorders>
          </w:tcPr>
          <w:p w14:paraId="6285033B" w14:textId="77777777" w:rsidR="00704EB3" w:rsidRPr="003F2C03" w:rsidRDefault="00704EB3" w:rsidP="002C2321">
            <w:pPr>
              <w:rPr>
                <w:iCs/>
                <w:color w:val="000000"/>
                <w:sz w:val="16"/>
                <w:szCs w:val="16"/>
                <w:lang w:val="en-GB"/>
              </w:rPr>
            </w:pPr>
          </w:p>
          <w:p w14:paraId="349E85F8" w14:textId="2AFFE5C3" w:rsidR="00DB1024" w:rsidRDefault="00704EB3" w:rsidP="00DB1024">
            <w:pPr>
              <w:rPr>
                <w:iCs/>
                <w:color w:val="000000"/>
                <w:sz w:val="16"/>
                <w:szCs w:val="16"/>
                <w:lang w:val="en-GB"/>
              </w:rPr>
            </w:pPr>
            <w:r w:rsidRPr="003F2C03">
              <w:rPr>
                <w:iCs/>
                <w:color w:val="000000"/>
                <w:sz w:val="16"/>
                <w:szCs w:val="16"/>
                <w:lang w:val="en-GB"/>
              </w:rPr>
              <w:t>Prime Minister</w:t>
            </w:r>
            <w:r w:rsidR="00DB1024">
              <w:rPr>
                <w:iCs/>
                <w:color w:val="000000"/>
                <w:sz w:val="16"/>
                <w:szCs w:val="16"/>
                <w:lang w:val="en-GB"/>
              </w:rPr>
              <w:t>’s</w:t>
            </w:r>
            <w:r w:rsidRPr="003F2C03">
              <w:rPr>
                <w:iCs/>
                <w:color w:val="000000"/>
                <w:sz w:val="16"/>
                <w:szCs w:val="16"/>
                <w:lang w:val="en-GB"/>
              </w:rPr>
              <w:t xml:space="preserve"> Cabinet, Ministr</w:t>
            </w:r>
            <w:r w:rsidR="00DB1024">
              <w:rPr>
                <w:iCs/>
                <w:color w:val="000000"/>
                <w:sz w:val="16"/>
                <w:szCs w:val="16"/>
                <w:lang w:val="en-GB"/>
              </w:rPr>
              <w:t>ies</w:t>
            </w:r>
            <w:r w:rsidRPr="003F2C03">
              <w:rPr>
                <w:iCs/>
                <w:color w:val="000000"/>
                <w:sz w:val="16"/>
                <w:szCs w:val="16"/>
                <w:lang w:val="en-GB"/>
              </w:rPr>
              <w:t xml:space="preserve"> of Human Rights and Minorities, Labour and Social </w:t>
            </w:r>
            <w:r w:rsidR="00DB1024">
              <w:rPr>
                <w:iCs/>
                <w:color w:val="000000"/>
                <w:sz w:val="16"/>
                <w:szCs w:val="16"/>
                <w:lang w:val="en-GB"/>
              </w:rPr>
              <w:t>W</w:t>
            </w:r>
            <w:r w:rsidRPr="003F2C03">
              <w:rPr>
                <w:iCs/>
                <w:color w:val="000000"/>
                <w:sz w:val="16"/>
                <w:szCs w:val="16"/>
                <w:lang w:val="en-GB"/>
              </w:rPr>
              <w:t>elfare, Information Society and Telecommunications</w:t>
            </w:r>
            <w:r w:rsidR="00DB1024">
              <w:rPr>
                <w:iCs/>
                <w:color w:val="000000"/>
                <w:sz w:val="16"/>
                <w:szCs w:val="16"/>
                <w:lang w:val="en-GB"/>
              </w:rPr>
              <w:t>; s</w:t>
            </w:r>
            <w:r w:rsidRPr="003F2C03">
              <w:rPr>
                <w:iCs/>
                <w:color w:val="000000"/>
                <w:sz w:val="16"/>
                <w:szCs w:val="16"/>
                <w:lang w:val="en-GB"/>
              </w:rPr>
              <w:t xml:space="preserve">ocial care centres, </w:t>
            </w:r>
            <w:r w:rsidR="00DB1024">
              <w:rPr>
                <w:iCs/>
                <w:color w:val="000000"/>
                <w:sz w:val="16"/>
                <w:szCs w:val="16"/>
                <w:lang w:val="en-GB"/>
              </w:rPr>
              <w:t>e</w:t>
            </w:r>
            <w:r w:rsidRPr="003F2C03">
              <w:rPr>
                <w:iCs/>
                <w:color w:val="000000"/>
                <w:sz w:val="16"/>
                <w:szCs w:val="16"/>
                <w:lang w:val="en-GB"/>
              </w:rPr>
              <w:t xml:space="preserve">mployment </w:t>
            </w:r>
            <w:r w:rsidR="00DB1024">
              <w:rPr>
                <w:iCs/>
                <w:color w:val="000000"/>
                <w:sz w:val="16"/>
                <w:szCs w:val="16"/>
                <w:lang w:val="en-GB"/>
              </w:rPr>
              <w:t>a</w:t>
            </w:r>
            <w:r w:rsidRPr="003F2C03">
              <w:rPr>
                <w:iCs/>
                <w:color w:val="000000"/>
                <w:sz w:val="16"/>
                <w:szCs w:val="16"/>
                <w:lang w:val="en-GB"/>
              </w:rPr>
              <w:t>genc</w:t>
            </w:r>
            <w:r w:rsidR="008B6C87">
              <w:rPr>
                <w:iCs/>
                <w:color w:val="000000"/>
                <w:sz w:val="16"/>
                <w:szCs w:val="16"/>
                <w:lang w:val="en-GB"/>
              </w:rPr>
              <w:t>ies</w:t>
            </w:r>
            <w:r w:rsidRPr="003F2C03">
              <w:rPr>
                <w:iCs/>
                <w:color w:val="000000"/>
                <w:sz w:val="16"/>
                <w:szCs w:val="16"/>
                <w:lang w:val="en-GB"/>
              </w:rPr>
              <w:t>, MONSTAT,</w:t>
            </w:r>
            <w:r w:rsidR="00DB1024">
              <w:rPr>
                <w:iCs/>
                <w:color w:val="000000"/>
                <w:sz w:val="16"/>
                <w:szCs w:val="16"/>
                <w:lang w:val="en-GB"/>
              </w:rPr>
              <w:t xml:space="preserve"> </w:t>
            </w:r>
            <w:r w:rsidRPr="003F2C03">
              <w:rPr>
                <w:iCs/>
                <w:color w:val="000000"/>
                <w:sz w:val="16"/>
                <w:szCs w:val="16"/>
                <w:lang w:val="en-GB"/>
              </w:rPr>
              <w:t>local authorities</w:t>
            </w:r>
            <w:r w:rsidR="00DB1024">
              <w:rPr>
                <w:iCs/>
                <w:color w:val="000000"/>
                <w:sz w:val="16"/>
                <w:szCs w:val="16"/>
                <w:lang w:val="en-GB"/>
              </w:rPr>
              <w:t>,</w:t>
            </w:r>
            <w:r w:rsidRPr="003F2C03">
              <w:rPr>
                <w:iCs/>
                <w:color w:val="000000"/>
                <w:sz w:val="16"/>
                <w:szCs w:val="16"/>
                <w:lang w:val="en-GB"/>
              </w:rPr>
              <w:t xml:space="preserve"> political parties, academia</w:t>
            </w:r>
            <w:r w:rsidR="00DB1024">
              <w:rPr>
                <w:iCs/>
                <w:color w:val="000000"/>
                <w:sz w:val="16"/>
                <w:szCs w:val="16"/>
                <w:lang w:val="en-GB"/>
              </w:rPr>
              <w:t xml:space="preserve">, civil society groups, </w:t>
            </w:r>
            <w:r w:rsidRPr="003F2C03">
              <w:rPr>
                <w:iCs/>
                <w:color w:val="000000"/>
                <w:sz w:val="16"/>
                <w:szCs w:val="16"/>
                <w:lang w:val="en-GB"/>
              </w:rPr>
              <w:t>NGOs,</w:t>
            </w:r>
            <w:r w:rsidR="00DB1024">
              <w:rPr>
                <w:iCs/>
                <w:color w:val="000000"/>
                <w:sz w:val="16"/>
                <w:szCs w:val="16"/>
                <w:lang w:val="en-GB"/>
              </w:rPr>
              <w:t xml:space="preserve"> t</w:t>
            </w:r>
            <w:r w:rsidRPr="003F2C03">
              <w:rPr>
                <w:iCs/>
                <w:color w:val="000000"/>
                <w:sz w:val="16"/>
                <w:szCs w:val="16"/>
                <w:lang w:val="en-GB"/>
              </w:rPr>
              <w:t xml:space="preserve">hink </w:t>
            </w:r>
            <w:r w:rsidR="00DB1024">
              <w:rPr>
                <w:iCs/>
                <w:color w:val="000000"/>
                <w:sz w:val="16"/>
                <w:szCs w:val="16"/>
                <w:lang w:val="en-GB"/>
              </w:rPr>
              <w:t>t</w:t>
            </w:r>
            <w:r w:rsidRPr="003F2C03">
              <w:rPr>
                <w:iCs/>
                <w:color w:val="000000"/>
                <w:sz w:val="16"/>
                <w:szCs w:val="16"/>
                <w:lang w:val="en-GB"/>
              </w:rPr>
              <w:t xml:space="preserve">anks, </w:t>
            </w:r>
          </w:p>
          <w:p w14:paraId="3B975016" w14:textId="0C744143" w:rsidR="00704EB3" w:rsidRPr="003F2C03" w:rsidRDefault="00DB1024" w:rsidP="00DB1024">
            <w:pPr>
              <w:rPr>
                <w:iCs/>
                <w:color w:val="000000"/>
                <w:sz w:val="16"/>
                <w:szCs w:val="16"/>
                <w:lang w:val="en-GB"/>
              </w:rPr>
            </w:pPr>
            <w:r>
              <w:rPr>
                <w:iCs/>
                <w:color w:val="000000"/>
                <w:sz w:val="16"/>
                <w:szCs w:val="16"/>
                <w:lang w:val="en-GB"/>
              </w:rPr>
              <w:t>p</w:t>
            </w:r>
            <w:r w:rsidR="00704EB3" w:rsidRPr="003F2C03">
              <w:rPr>
                <w:iCs/>
                <w:color w:val="000000"/>
                <w:sz w:val="16"/>
                <w:szCs w:val="16"/>
                <w:lang w:val="en-GB"/>
              </w:rPr>
              <w:t>rivate sector</w:t>
            </w:r>
            <w:r>
              <w:rPr>
                <w:iCs/>
                <w:color w:val="000000"/>
                <w:sz w:val="16"/>
                <w:szCs w:val="16"/>
                <w:lang w:val="en-GB"/>
              </w:rPr>
              <w:t>,</w:t>
            </w:r>
            <w:r w:rsidR="00704EB3" w:rsidRPr="003F2C03">
              <w:rPr>
                <w:iCs/>
                <w:color w:val="000000"/>
                <w:sz w:val="16"/>
                <w:szCs w:val="16"/>
                <w:lang w:val="en-GB"/>
              </w:rPr>
              <w:t xml:space="preserve"> </w:t>
            </w:r>
            <w:r>
              <w:rPr>
                <w:iCs/>
                <w:color w:val="000000"/>
                <w:sz w:val="16"/>
                <w:szCs w:val="16"/>
                <w:lang w:val="en-GB"/>
              </w:rPr>
              <w:t>o</w:t>
            </w:r>
            <w:r w:rsidR="00704EB3" w:rsidRPr="003F2C03">
              <w:rPr>
                <w:iCs/>
                <w:color w:val="000000"/>
                <w:sz w:val="16"/>
                <w:szCs w:val="16"/>
                <w:lang w:val="en-GB"/>
              </w:rPr>
              <w:t>mbudsman and other human rights institutions</w:t>
            </w:r>
          </w:p>
        </w:tc>
        <w:tc>
          <w:tcPr>
            <w:tcW w:w="831" w:type="pct"/>
            <w:gridSpan w:val="2"/>
            <w:tcBorders>
              <w:bottom w:val="single" w:sz="4" w:space="0" w:color="auto"/>
            </w:tcBorders>
            <w:tcMar>
              <w:top w:w="15" w:type="dxa"/>
              <w:left w:w="108" w:type="dxa"/>
              <w:bottom w:w="0" w:type="dxa"/>
              <w:right w:w="108" w:type="dxa"/>
            </w:tcMar>
          </w:tcPr>
          <w:p w14:paraId="74FE194F" w14:textId="77777777" w:rsidR="00704EB3" w:rsidRPr="003F2C03" w:rsidRDefault="00704EB3" w:rsidP="002C2321">
            <w:pPr>
              <w:rPr>
                <w:b/>
                <w:color w:val="000000"/>
                <w:sz w:val="16"/>
                <w:szCs w:val="16"/>
              </w:rPr>
            </w:pPr>
            <w:r w:rsidRPr="003F2C03">
              <w:rPr>
                <w:b/>
                <w:color w:val="000000"/>
                <w:sz w:val="16"/>
                <w:szCs w:val="16"/>
              </w:rPr>
              <w:t>Regular:</w:t>
            </w:r>
          </w:p>
          <w:p w14:paraId="0CAA9CAD" w14:textId="60E5A9E1" w:rsidR="00704EB3" w:rsidRPr="003F2C03" w:rsidRDefault="00704EB3" w:rsidP="002C2321">
            <w:pPr>
              <w:rPr>
                <w:b/>
                <w:color w:val="000000"/>
                <w:sz w:val="16"/>
                <w:szCs w:val="16"/>
              </w:rPr>
            </w:pPr>
            <w:r w:rsidRPr="003F2C03">
              <w:rPr>
                <w:b/>
                <w:color w:val="000000"/>
                <w:sz w:val="16"/>
                <w:szCs w:val="16"/>
              </w:rPr>
              <w:t>2</w:t>
            </w:r>
            <w:r w:rsidR="009D5473" w:rsidRPr="003F2C03">
              <w:rPr>
                <w:b/>
                <w:color w:val="000000"/>
                <w:sz w:val="16"/>
                <w:szCs w:val="16"/>
              </w:rPr>
              <w:t>44</w:t>
            </w:r>
            <w:r w:rsidRPr="003F2C03">
              <w:rPr>
                <w:b/>
                <w:color w:val="000000"/>
                <w:sz w:val="16"/>
                <w:szCs w:val="16"/>
              </w:rPr>
              <w:t>,000</w:t>
            </w:r>
          </w:p>
          <w:p w14:paraId="0168E7A5" w14:textId="77777777" w:rsidR="00704EB3" w:rsidRPr="003F2C03" w:rsidRDefault="00704EB3" w:rsidP="002C2321">
            <w:pPr>
              <w:rPr>
                <w:b/>
                <w:color w:val="000000"/>
                <w:sz w:val="16"/>
                <w:szCs w:val="16"/>
              </w:rPr>
            </w:pPr>
          </w:p>
          <w:p w14:paraId="308B5B7E" w14:textId="77777777" w:rsidR="00704EB3" w:rsidRPr="003F2C03" w:rsidRDefault="00704EB3" w:rsidP="002C2321">
            <w:pPr>
              <w:rPr>
                <w:b/>
                <w:color w:val="000000"/>
                <w:sz w:val="16"/>
                <w:szCs w:val="16"/>
              </w:rPr>
            </w:pPr>
          </w:p>
          <w:p w14:paraId="08494FA0" w14:textId="20C35A38" w:rsidR="00704EB3" w:rsidRPr="003F2C03" w:rsidRDefault="00704EB3" w:rsidP="002C2321">
            <w:pPr>
              <w:rPr>
                <w:b/>
                <w:color w:val="000000"/>
                <w:sz w:val="16"/>
                <w:szCs w:val="16"/>
              </w:rPr>
            </w:pPr>
            <w:r w:rsidRPr="003F2C03">
              <w:rPr>
                <w:b/>
                <w:color w:val="000000"/>
                <w:sz w:val="16"/>
                <w:szCs w:val="16"/>
              </w:rPr>
              <w:t>Other:</w:t>
            </w:r>
          </w:p>
          <w:p w14:paraId="7F805821" w14:textId="2274563F" w:rsidR="00704EB3" w:rsidRPr="003F2C03" w:rsidRDefault="0014549C" w:rsidP="002C2321">
            <w:pPr>
              <w:rPr>
                <w:b/>
                <w:color w:val="000000"/>
                <w:sz w:val="16"/>
                <w:szCs w:val="16"/>
              </w:rPr>
            </w:pPr>
            <w:r w:rsidRPr="003F2C03">
              <w:rPr>
                <w:b/>
                <w:color w:val="000000"/>
                <w:sz w:val="16"/>
                <w:szCs w:val="16"/>
              </w:rPr>
              <w:t>5</w:t>
            </w:r>
            <w:r w:rsidR="00704EB3" w:rsidRPr="003F2C03">
              <w:rPr>
                <w:b/>
                <w:color w:val="000000"/>
                <w:sz w:val="16"/>
                <w:szCs w:val="16"/>
              </w:rPr>
              <w:t>,</w:t>
            </w:r>
            <w:r w:rsidR="009D5473" w:rsidRPr="003F2C03">
              <w:rPr>
                <w:b/>
                <w:color w:val="000000"/>
                <w:sz w:val="16"/>
                <w:szCs w:val="16"/>
              </w:rPr>
              <w:t>756</w:t>
            </w:r>
            <w:r w:rsidR="00704EB3" w:rsidRPr="003F2C03">
              <w:rPr>
                <w:b/>
                <w:color w:val="000000"/>
                <w:sz w:val="16"/>
                <w:szCs w:val="16"/>
              </w:rPr>
              <w:t>,000</w:t>
            </w:r>
          </w:p>
          <w:p w14:paraId="79C1F43A" w14:textId="77777777" w:rsidR="00704EB3" w:rsidRPr="003F2C03" w:rsidRDefault="00704EB3" w:rsidP="002C2321">
            <w:pPr>
              <w:rPr>
                <w:b/>
                <w:color w:val="000000"/>
                <w:sz w:val="16"/>
                <w:szCs w:val="16"/>
              </w:rPr>
            </w:pPr>
          </w:p>
          <w:p w14:paraId="36E82533" w14:textId="0780D87E" w:rsidR="00704EB3" w:rsidRPr="003F2C03" w:rsidRDefault="00704EB3" w:rsidP="002C2321">
            <w:pPr>
              <w:rPr>
                <w:b/>
                <w:color w:val="000000"/>
                <w:sz w:val="16"/>
                <w:szCs w:val="16"/>
              </w:rPr>
            </w:pPr>
          </w:p>
        </w:tc>
      </w:tr>
      <w:tr w:rsidR="002C2321" w:rsidRPr="003F2C03" w14:paraId="5DA54ACA" w14:textId="77777777" w:rsidTr="00F66191">
        <w:tc>
          <w:tcPr>
            <w:tcW w:w="5000" w:type="pct"/>
            <w:gridSpan w:val="7"/>
            <w:shd w:val="clear" w:color="auto" w:fill="auto"/>
            <w:tcMar>
              <w:top w:w="72" w:type="dxa"/>
              <w:left w:w="144" w:type="dxa"/>
              <w:bottom w:w="72" w:type="dxa"/>
              <w:right w:w="144" w:type="dxa"/>
            </w:tcMar>
          </w:tcPr>
          <w:p w14:paraId="7E2E9F61" w14:textId="62F84C94" w:rsidR="002C2321" w:rsidRPr="003F2C03" w:rsidRDefault="002C2321" w:rsidP="00901E89">
            <w:pPr>
              <w:rPr>
                <w:color w:val="000000"/>
                <w:sz w:val="16"/>
                <w:szCs w:val="16"/>
              </w:rPr>
            </w:pPr>
            <w:r w:rsidRPr="003F2C03">
              <w:rPr>
                <w:b/>
                <w:bCs/>
                <w:color w:val="000000"/>
                <w:sz w:val="16"/>
                <w:szCs w:val="16"/>
                <w:lang w:val="en-GB"/>
              </w:rPr>
              <w:t xml:space="preserve">NATIONAL PRIORITY OR GOAL: </w:t>
            </w:r>
            <w:r w:rsidRPr="00E8263A">
              <w:rPr>
                <w:bCs/>
                <w:color w:val="000000"/>
                <w:sz w:val="16"/>
                <w:szCs w:val="16"/>
                <w:lang w:val="en-GB"/>
              </w:rPr>
              <w:t>Related to SDG</w:t>
            </w:r>
            <w:r w:rsidR="00A64C28" w:rsidRPr="00E8263A">
              <w:rPr>
                <w:bCs/>
                <w:color w:val="000000"/>
                <w:sz w:val="16"/>
                <w:szCs w:val="16"/>
                <w:lang w:val="en-GB"/>
              </w:rPr>
              <w:t>s</w:t>
            </w:r>
            <w:r w:rsidRPr="00E8263A">
              <w:rPr>
                <w:bCs/>
                <w:color w:val="000000"/>
                <w:sz w:val="16"/>
                <w:szCs w:val="16"/>
                <w:lang w:val="en-GB"/>
              </w:rPr>
              <w:t xml:space="preserve"> 8, 9, 16</w:t>
            </w:r>
            <w:r w:rsidR="00A64C28" w:rsidRPr="00E8263A">
              <w:rPr>
                <w:bCs/>
                <w:color w:val="000000"/>
                <w:sz w:val="16"/>
                <w:szCs w:val="16"/>
                <w:lang w:val="en-GB"/>
              </w:rPr>
              <w:t>.</w:t>
            </w:r>
          </w:p>
        </w:tc>
      </w:tr>
      <w:tr w:rsidR="002C2321" w:rsidRPr="003F2C03" w14:paraId="2951C4E0" w14:textId="77777777" w:rsidTr="00F66191">
        <w:tc>
          <w:tcPr>
            <w:tcW w:w="5000" w:type="pct"/>
            <w:gridSpan w:val="7"/>
            <w:shd w:val="clear" w:color="auto" w:fill="auto"/>
            <w:tcMar>
              <w:top w:w="72" w:type="dxa"/>
              <w:left w:w="144" w:type="dxa"/>
              <w:bottom w:w="72" w:type="dxa"/>
              <w:right w:w="144" w:type="dxa"/>
            </w:tcMar>
          </w:tcPr>
          <w:p w14:paraId="29331FA5" w14:textId="648C90BE" w:rsidR="002C2321" w:rsidRPr="003F2C03" w:rsidRDefault="002C2321" w:rsidP="0092563D">
            <w:pPr>
              <w:rPr>
                <w:color w:val="000000"/>
                <w:sz w:val="16"/>
                <w:szCs w:val="16"/>
                <w:lang w:val="en-GB"/>
              </w:rPr>
            </w:pPr>
            <w:r w:rsidRPr="003F2C03">
              <w:rPr>
                <w:b/>
                <w:bCs/>
                <w:color w:val="000000"/>
                <w:sz w:val="16"/>
                <w:szCs w:val="16"/>
                <w:lang w:val="en-GB"/>
              </w:rPr>
              <w:t>UNDAF (OR EQUIVALENT) OUTCOME INVOLVING UNDP</w:t>
            </w:r>
            <w:r w:rsidR="0092563D">
              <w:rPr>
                <w:b/>
                <w:bCs/>
                <w:color w:val="000000"/>
                <w:sz w:val="16"/>
                <w:szCs w:val="16"/>
                <w:lang w:val="en-GB"/>
              </w:rPr>
              <w:t xml:space="preserve">: </w:t>
            </w:r>
            <w:r w:rsidRPr="00E8263A">
              <w:rPr>
                <w:bCs/>
                <w:color w:val="000000"/>
                <w:sz w:val="16"/>
                <w:szCs w:val="16"/>
                <w:lang w:val="en-GB"/>
              </w:rPr>
              <w:t>4</w:t>
            </w:r>
            <w:r w:rsidR="0092563D" w:rsidRPr="00E8263A">
              <w:rPr>
                <w:bCs/>
                <w:color w:val="000000"/>
                <w:sz w:val="16"/>
                <w:szCs w:val="16"/>
                <w:lang w:val="en-GB"/>
              </w:rPr>
              <w:t>.</w:t>
            </w:r>
            <w:r w:rsidRPr="00E8263A">
              <w:rPr>
                <w:color w:val="000000"/>
                <w:sz w:val="16"/>
                <w:szCs w:val="16"/>
                <w:lang w:val="en-GB"/>
              </w:rPr>
              <w:t xml:space="preserve"> </w:t>
            </w:r>
            <w:r w:rsidRPr="00E8263A">
              <w:rPr>
                <w:bCs/>
                <w:color w:val="000000"/>
                <w:sz w:val="16"/>
                <w:szCs w:val="16"/>
              </w:rPr>
              <w:t>By 2021, people of Montenegro benefit from an enabling institutional and regulatory framework for sustainable and inclusive economic growth based on innovation, entrepreneurship and competitiveness.</w:t>
            </w:r>
            <w:r w:rsidRPr="003F2C03">
              <w:rPr>
                <w:b/>
                <w:bCs/>
                <w:color w:val="000000"/>
                <w:sz w:val="16"/>
                <w:szCs w:val="16"/>
              </w:rPr>
              <w:t xml:space="preserve"> </w:t>
            </w:r>
          </w:p>
        </w:tc>
      </w:tr>
      <w:tr w:rsidR="002C2321" w:rsidRPr="003F2C03" w14:paraId="6622FC09" w14:textId="77777777" w:rsidTr="00F66191">
        <w:tc>
          <w:tcPr>
            <w:tcW w:w="5000" w:type="pct"/>
            <w:gridSpan w:val="7"/>
            <w:shd w:val="clear" w:color="auto" w:fill="auto"/>
            <w:tcMar>
              <w:top w:w="72" w:type="dxa"/>
              <w:left w:w="144" w:type="dxa"/>
              <w:bottom w:w="72" w:type="dxa"/>
              <w:right w:w="144" w:type="dxa"/>
            </w:tcMar>
          </w:tcPr>
          <w:p w14:paraId="40FA873D" w14:textId="48E0B238" w:rsidR="002C2321" w:rsidRPr="003F2C03" w:rsidRDefault="002C2321" w:rsidP="00A64C28">
            <w:pPr>
              <w:rPr>
                <w:b/>
                <w:bCs/>
                <w:color w:val="000000"/>
                <w:sz w:val="16"/>
                <w:szCs w:val="16"/>
                <w:lang w:val="en-GB"/>
              </w:rPr>
            </w:pPr>
            <w:r w:rsidRPr="003F2C03">
              <w:rPr>
                <w:b/>
                <w:bCs/>
                <w:color w:val="000000"/>
                <w:sz w:val="16"/>
                <w:szCs w:val="16"/>
                <w:lang w:val="en-GB"/>
              </w:rPr>
              <w:t>RELATED STRATEGIC PLAN OUTCOME (Strategic Plan 2014-2017)</w:t>
            </w:r>
            <w:r w:rsidR="00901E89">
              <w:rPr>
                <w:b/>
                <w:bCs/>
                <w:color w:val="000000"/>
                <w:sz w:val="16"/>
                <w:szCs w:val="16"/>
                <w:lang w:val="en-GB"/>
              </w:rPr>
              <w:t>:</w:t>
            </w:r>
            <w:r w:rsidRPr="003F2C03">
              <w:rPr>
                <w:b/>
                <w:bCs/>
                <w:color w:val="000000"/>
                <w:sz w:val="16"/>
                <w:szCs w:val="16"/>
                <w:lang w:val="en-GB"/>
              </w:rPr>
              <w:t xml:space="preserve"> Outcome 1: Growth and development are inclusive and sustainable</w:t>
            </w:r>
            <w:r w:rsidR="00A64C28">
              <w:rPr>
                <w:b/>
                <w:bCs/>
                <w:color w:val="000000"/>
                <w:sz w:val="16"/>
                <w:szCs w:val="16"/>
                <w:lang w:val="en-GB"/>
              </w:rPr>
              <w:t>,</w:t>
            </w:r>
            <w:r w:rsidRPr="003F2C03">
              <w:rPr>
                <w:b/>
                <w:bCs/>
                <w:color w:val="000000"/>
                <w:sz w:val="16"/>
                <w:szCs w:val="16"/>
                <w:lang w:val="en-GB"/>
              </w:rPr>
              <w:t xml:space="preserve"> incorporating productive capacities that create employment and livelihoods for poor and excluded</w:t>
            </w:r>
            <w:r w:rsidR="00A64C28">
              <w:rPr>
                <w:b/>
                <w:bCs/>
                <w:color w:val="000000"/>
                <w:sz w:val="16"/>
                <w:szCs w:val="16"/>
                <w:lang w:val="en-GB"/>
              </w:rPr>
              <w:t xml:space="preserve"> people.</w:t>
            </w:r>
          </w:p>
        </w:tc>
      </w:tr>
      <w:tr w:rsidR="00704EB3" w:rsidRPr="003F2C03" w14:paraId="2FAB30D4" w14:textId="77777777" w:rsidTr="005F172E">
        <w:tc>
          <w:tcPr>
            <w:tcW w:w="1135" w:type="pct"/>
            <w:tcBorders>
              <w:bottom w:val="single" w:sz="4" w:space="0" w:color="auto"/>
            </w:tcBorders>
            <w:tcMar>
              <w:top w:w="72" w:type="dxa"/>
              <w:left w:w="144" w:type="dxa"/>
              <w:bottom w:w="72" w:type="dxa"/>
              <w:right w:w="144" w:type="dxa"/>
            </w:tcMar>
            <w:vAlign w:val="center"/>
          </w:tcPr>
          <w:p w14:paraId="63E42266" w14:textId="182990C0" w:rsidR="00704EB3" w:rsidRPr="003F2C03" w:rsidRDefault="00704EB3" w:rsidP="002C2321">
            <w:pPr>
              <w:rPr>
                <w:b/>
                <w:bCs/>
                <w:color w:val="000000"/>
                <w:sz w:val="16"/>
                <w:szCs w:val="16"/>
              </w:rPr>
            </w:pPr>
            <w:r w:rsidRPr="003F2C03">
              <w:rPr>
                <w:b/>
                <w:bCs/>
                <w:color w:val="000000"/>
                <w:sz w:val="16"/>
                <w:szCs w:val="16"/>
              </w:rPr>
              <w:t>1 Human Development Index and its derivatives</w:t>
            </w:r>
          </w:p>
          <w:p w14:paraId="42088B6E" w14:textId="77777777" w:rsidR="00704EB3" w:rsidRPr="003F2C03" w:rsidRDefault="00704EB3" w:rsidP="002C2321">
            <w:pPr>
              <w:rPr>
                <w:b/>
                <w:bCs/>
                <w:color w:val="000000"/>
                <w:sz w:val="16"/>
                <w:szCs w:val="16"/>
              </w:rPr>
            </w:pPr>
          </w:p>
          <w:p w14:paraId="5CD9D5C6" w14:textId="77777777" w:rsidR="00704EB3" w:rsidRPr="003F2C03" w:rsidRDefault="00704EB3" w:rsidP="002C2321">
            <w:pPr>
              <w:rPr>
                <w:b/>
                <w:bCs/>
                <w:color w:val="000000"/>
                <w:sz w:val="16"/>
                <w:szCs w:val="16"/>
              </w:rPr>
            </w:pPr>
            <w:r w:rsidRPr="003F2C03">
              <w:rPr>
                <w:b/>
                <w:bCs/>
                <w:color w:val="000000"/>
                <w:sz w:val="16"/>
                <w:szCs w:val="16"/>
              </w:rPr>
              <w:t>(a) Human Development Index</w:t>
            </w:r>
          </w:p>
          <w:p w14:paraId="211474EF" w14:textId="6D88E53B" w:rsidR="00704EB3" w:rsidRPr="003F2C03" w:rsidRDefault="00704EB3" w:rsidP="002C2321">
            <w:pPr>
              <w:rPr>
                <w:color w:val="000000"/>
                <w:sz w:val="16"/>
                <w:szCs w:val="16"/>
                <w:u w:val="single"/>
              </w:rPr>
            </w:pPr>
            <w:r w:rsidRPr="00AA7688">
              <w:rPr>
                <w:b/>
                <w:color w:val="000000"/>
                <w:sz w:val="16"/>
                <w:szCs w:val="16"/>
              </w:rPr>
              <w:t xml:space="preserve">Baseline (2014): </w:t>
            </w:r>
            <w:r w:rsidR="00901E89">
              <w:rPr>
                <w:color w:val="000000"/>
                <w:sz w:val="16"/>
                <w:szCs w:val="16"/>
              </w:rPr>
              <w:t>V</w:t>
            </w:r>
            <w:r w:rsidRPr="003F2C03">
              <w:rPr>
                <w:color w:val="000000"/>
                <w:sz w:val="16"/>
                <w:szCs w:val="16"/>
              </w:rPr>
              <w:t>alue</w:t>
            </w:r>
            <w:r w:rsidR="00901E89">
              <w:rPr>
                <w:color w:val="000000"/>
                <w:sz w:val="16"/>
                <w:szCs w:val="16"/>
              </w:rPr>
              <w:t>,</w:t>
            </w:r>
            <w:r w:rsidRPr="003F2C03">
              <w:rPr>
                <w:color w:val="000000"/>
                <w:sz w:val="16"/>
                <w:szCs w:val="16"/>
              </w:rPr>
              <w:t xml:space="preserve"> 0</w:t>
            </w:r>
            <w:r w:rsidR="00901E89">
              <w:rPr>
                <w:color w:val="000000"/>
                <w:sz w:val="16"/>
                <w:szCs w:val="16"/>
              </w:rPr>
              <w:t>.</w:t>
            </w:r>
            <w:r w:rsidRPr="003F2C03">
              <w:rPr>
                <w:color w:val="000000"/>
                <w:sz w:val="16"/>
                <w:szCs w:val="16"/>
              </w:rPr>
              <w:t>802; rank</w:t>
            </w:r>
            <w:r w:rsidR="00901E89">
              <w:rPr>
                <w:color w:val="000000"/>
                <w:sz w:val="16"/>
                <w:szCs w:val="16"/>
              </w:rPr>
              <w:t>,</w:t>
            </w:r>
            <w:r w:rsidRPr="003F2C03">
              <w:rPr>
                <w:color w:val="000000"/>
                <w:sz w:val="16"/>
                <w:szCs w:val="16"/>
              </w:rPr>
              <w:t xml:space="preserve"> 49/187; very high human development</w:t>
            </w:r>
          </w:p>
          <w:p w14:paraId="52D497AA" w14:textId="5CBC5356" w:rsidR="00704EB3" w:rsidRPr="008227E8" w:rsidRDefault="00704EB3" w:rsidP="002C2321">
            <w:pPr>
              <w:rPr>
                <w:color w:val="000000"/>
                <w:sz w:val="16"/>
                <w:szCs w:val="16"/>
                <w:u w:val="single"/>
              </w:rPr>
            </w:pPr>
            <w:r w:rsidRPr="00AA7688">
              <w:rPr>
                <w:b/>
                <w:color w:val="000000"/>
                <w:sz w:val="16"/>
                <w:szCs w:val="16"/>
              </w:rPr>
              <w:t>Target (2021):</w:t>
            </w:r>
            <w:r w:rsidR="00901E89">
              <w:rPr>
                <w:b/>
                <w:color w:val="000000"/>
                <w:sz w:val="16"/>
                <w:szCs w:val="16"/>
              </w:rPr>
              <w:t xml:space="preserve"> </w:t>
            </w:r>
            <w:r w:rsidR="00616E7D" w:rsidRPr="004B1395">
              <w:rPr>
                <w:color w:val="000000"/>
                <w:sz w:val="16"/>
                <w:szCs w:val="16"/>
              </w:rPr>
              <w:t xml:space="preserve">Maintain the rank of </w:t>
            </w:r>
            <w:bookmarkStart w:id="0" w:name="_GoBack"/>
            <w:bookmarkEnd w:id="0"/>
            <w:r w:rsidR="00616E7D" w:rsidRPr="008227E8">
              <w:rPr>
                <w:color w:val="000000"/>
                <w:sz w:val="16"/>
                <w:szCs w:val="16"/>
              </w:rPr>
              <w:t>v</w:t>
            </w:r>
            <w:r w:rsidRPr="008227E8">
              <w:rPr>
                <w:color w:val="000000"/>
                <w:sz w:val="16"/>
                <w:szCs w:val="16"/>
              </w:rPr>
              <w:t>ery high human development</w:t>
            </w:r>
          </w:p>
          <w:p w14:paraId="40CB3993" w14:textId="77777777" w:rsidR="00704EB3" w:rsidRPr="003F2C03" w:rsidRDefault="00704EB3" w:rsidP="002C2321">
            <w:pPr>
              <w:rPr>
                <w:color w:val="000000"/>
                <w:sz w:val="16"/>
                <w:szCs w:val="16"/>
                <w:u w:val="single"/>
              </w:rPr>
            </w:pPr>
          </w:p>
          <w:p w14:paraId="4F6C9245" w14:textId="32ADBF46" w:rsidR="00704EB3" w:rsidRPr="003F2C03" w:rsidRDefault="00704EB3" w:rsidP="002C2321">
            <w:pPr>
              <w:rPr>
                <w:b/>
                <w:bCs/>
                <w:color w:val="000000"/>
                <w:sz w:val="16"/>
                <w:szCs w:val="16"/>
              </w:rPr>
            </w:pPr>
            <w:r w:rsidRPr="003F2C03">
              <w:rPr>
                <w:b/>
                <w:bCs/>
                <w:color w:val="000000"/>
                <w:sz w:val="16"/>
                <w:szCs w:val="16"/>
              </w:rPr>
              <w:t>(b) Inequality</w:t>
            </w:r>
            <w:r w:rsidR="008B6C87">
              <w:rPr>
                <w:b/>
                <w:bCs/>
                <w:color w:val="000000"/>
                <w:sz w:val="16"/>
                <w:szCs w:val="16"/>
              </w:rPr>
              <w:t>-</w:t>
            </w:r>
            <w:r w:rsidR="00A64C28">
              <w:rPr>
                <w:b/>
                <w:bCs/>
                <w:color w:val="000000"/>
                <w:sz w:val="16"/>
                <w:szCs w:val="16"/>
              </w:rPr>
              <w:t>a</w:t>
            </w:r>
            <w:r w:rsidRPr="003F2C03">
              <w:rPr>
                <w:b/>
                <w:bCs/>
                <w:color w:val="000000"/>
                <w:sz w:val="16"/>
                <w:szCs w:val="16"/>
              </w:rPr>
              <w:t>djusted Human Development Index</w:t>
            </w:r>
          </w:p>
          <w:p w14:paraId="46FA0010" w14:textId="0F0EE8D7" w:rsidR="00704EB3" w:rsidRPr="003F2C03" w:rsidRDefault="00704EB3" w:rsidP="002C2321">
            <w:pPr>
              <w:rPr>
                <w:color w:val="000000"/>
                <w:sz w:val="16"/>
                <w:szCs w:val="16"/>
              </w:rPr>
            </w:pPr>
            <w:r w:rsidRPr="00AA7688">
              <w:rPr>
                <w:b/>
                <w:color w:val="000000"/>
                <w:sz w:val="16"/>
                <w:szCs w:val="16"/>
              </w:rPr>
              <w:t xml:space="preserve">Baseline (2014): </w:t>
            </w:r>
            <w:r w:rsidR="00901E89">
              <w:rPr>
                <w:color w:val="000000"/>
                <w:sz w:val="16"/>
                <w:szCs w:val="16"/>
              </w:rPr>
              <w:t>V</w:t>
            </w:r>
            <w:r w:rsidRPr="003F2C03">
              <w:rPr>
                <w:color w:val="000000"/>
                <w:sz w:val="16"/>
                <w:szCs w:val="16"/>
              </w:rPr>
              <w:t>alue</w:t>
            </w:r>
            <w:r w:rsidR="00901E89">
              <w:rPr>
                <w:color w:val="000000"/>
                <w:sz w:val="16"/>
                <w:szCs w:val="16"/>
              </w:rPr>
              <w:t>,</w:t>
            </w:r>
            <w:r w:rsidRPr="003F2C03">
              <w:rPr>
                <w:color w:val="000000"/>
                <w:sz w:val="16"/>
                <w:szCs w:val="16"/>
              </w:rPr>
              <w:t xml:space="preserve"> 0.728 (loss of 9</w:t>
            </w:r>
            <w:r w:rsidR="00A64C28">
              <w:rPr>
                <w:color w:val="000000"/>
                <w:sz w:val="16"/>
                <w:szCs w:val="16"/>
              </w:rPr>
              <w:t>.</w:t>
            </w:r>
            <w:r w:rsidRPr="003F2C03">
              <w:rPr>
                <w:color w:val="000000"/>
                <w:sz w:val="16"/>
                <w:szCs w:val="16"/>
              </w:rPr>
              <w:t>2% of HDI)</w:t>
            </w:r>
            <w:r w:rsidR="00901E89">
              <w:rPr>
                <w:color w:val="000000"/>
                <w:sz w:val="16"/>
                <w:szCs w:val="16"/>
              </w:rPr>
              <w:t xml:space="preserve">; </w:t>
            </w:r>
            <w:r w:rsidRPr="003F2C03">
              <w:rPr>
                <w:color w:val="000000"/>
                <w:sz w:val="16"/>
                <w:szCs w:val="16"/>
              </w:rPr>
              <w:t>average loss due to inequality for very high HDI countries is 12.1%</w:t>
            </w:r>
          </w:p>
          <w:p w14:paraId="0230BA5E" w14:textId="21D66808" w:rsidR="00704EB3" w:rsidRPr="003F2C03" w:rsidRDefault="00704EB3" w:rsidP="002C2321">
            <w:pPr>
              <w:rPr>
                <w:color w:val="000000"/>
                <w:sz w:val="16"/>
                <w:szCs w:val="16"/>
                <w:u w:val="single"/>
              </w:rPr>
            </w:pPr>
            <w:r w:rsidRPr="00AA7688">
              <w:rPr>
                <w:b/>
                <w:color w:val="000000"/>
                <w:sz w:val="16"/>
                <w:szCs w:val="16"/>
              </w:rPr>
              <w:t xml:space="preserve">Target (2021): </w:t>
            </w:r>
            <w:r w:rsidRPr="003F2C03">
              <w:rPr>
                <w:sz w:val="16"/>
                <w:szCs w:val="16"/>
              </w:rPr>
              <w:t xml:space="preserve">Loss </w:t>
            </w:r>
            <w:r w:rsidR="00A70D7E">
              <w:rPr>
                <w:sz w:val="16"/>
                <w:szCs w:val="16"/>
              </w:rPr>
              <w:t>due to</w:t>
            </w:r>
            <w:r w:rsidR="00A70D7E" w:rsidRPr="003F2C03">
              <w:rPr>
                <w:sz w:val="16"/>
                <w:szCs w:val="16"/>
              </w:rPr>
              <w:t xml:space="preserve"> </w:t>
            </w:r>
            <w:r w:rsidR="00A64C28">
              <w:rPr>
                <w:sz w:val="16"/>
                <w:szCs w:val="16"/>
              </w:rPr>
              <w:t>i</w:t>
            </w:r>
            <w:r w:rsidRPr="003F2C03">
              <w:rPr>
                <w:sz w:val="16"/>
                <w:szCs w:val="16"/>
              </w:rPr>
              <w:t>nequality</w:t>
            </w:r>
            <w:r w:rsidR="008227E8">
              <w:rPr>
                <w:sz w:val="16"/>
                <w:szCs w:val="16"/>
              </w:rPr>
              <w:t xml:space="preserve"> </w:t>
            </w:r>
            <w:r w:rsidR="00616E7D">
              <w:rPr>
                <w:sz w:val="16"/>
                <w:szCs w:val="16"/>
              </w:rPr>
              <w:t>kept below</w:t>
            </w:r>
            <w:r w:rsidRPr="003F2C03">
              <w:rPr>
                <w:sz w:val="16"/>
                <w:szCs w:val="16"/>
              </w:rPr>
              <w:t xml:space="preserve"> average loss for the very high HDI countries</w:t>
            </w:r>
            <w:r w:rsidRPr="003F2C03">
              <w:rPr>
                <w:color w:val="000000"/>
                <w:sz w:val="16"/>
                <w:szCs w:val="16"/>
                <w:u w:val="single"/>
              </w:rPr>
              <w:t xml:space="preserve"> </w:t>
            </w:r>
          </w:p>
          <w:p w14:paraId="226A4C31" w14:textId="77777777" w:rsidR="00704EB3" w:rsidRPr="003F2C03" w:rsidRDefault="00704EB3" w:rsidP="002C2321">
            <w:pPr>
              <w:rPr>
                <w:color w:val="000000"/>
                <w:sz w:val="16"/>
                <w:szCs w:val="16"/>
                <w:u w:val="single"/>
              </w:rPr>
            </w:pPr>
          </w:p>
          <w:p w14:paraId="62F9B570" w14:textId="77777777" w:rsidR="00704EB3" w:rsidRPr="003F2C03" w:rsidRDefault="00704EB3" w:rsidP="002C2321">
            <w:pPr>
              <w:rPr>
                <w:b/>
                <w:bCs/>
                <w:color w:val="000000"/>
                <w:sz w:val="16"/>
                <w:szCs w:val="16"/>
              </w:rPr>
            </w:pPr>
            <w:r w:rsidRPr="003F2C03">
              <w:rPr>
                <w:b/>
                <w:bCs/>
                <w:color w:val="000000"/>
                <w:sz w:val="16"/>
                <w:szCs w:val="16"/>
              </w:rPr>
              <w:lastRenderedPageBreak/>
              <w:t>(b) Gender Inequality Index</w:t>
            </w:r>
          </w:p>
          <w:p w14:paraId="310A2ABF" w14:textId="06B3643E" w:rsidR="00704EB3" w:rsidRPr="003F2C03" w:rsidRDefault="00704EB3" w:rsidP="002C2321">
            <w:pPr>
              <w:rPr>
                <w:color w:val="000000"/>
                <w:sz w:val="16"/>
                <w:szCs w:val="16"/>
                <w:u w:val="single"/>
              </w:rPr>
            </w:pPr>
            <w:r w:rsidRPr="00AA7688">
              <w:rPr>
                <w:b/>
                <w:color w:val="000000"/>
                <w:sz w:val="16"/>
                <w:szCs w:val="16"/>
              </w:rPr>
              <w:t xml:space="preserve">Baseline (2014): </w:t>
            </w:r>
            <w:r w:rsidR="00A64C28">
              <w:rPr>
                <w:color w:val="000000"/>
                <w:sz w:val="16"/>
                <w:szCs w:val="16"/>
              </w:rPr>
              <w:t>V</w:t>
            </w:r>
            <w:r w:rsidRPr="003F2C03">
              <w:rPr>
                <w:color w:val="000000"/>
                <w:sz w:val="16"/>
                <w:szCs w:val="16"/>
              </w:rPr>
              <w:t>alue</w:t>
            </w:r>
            <w:r w:rsidR="00901E89">
              <w:rPr>
                <w:color w:val="000000"/>
                <w:sz w:val="16"/>
                <w:szCs w:val="16"/>
              </w:rPr>
              <w:t>,</w:t>
            </w:r>
            <w:r w:rsidRPr="003F2C03">
              <w:rPr>
                <w:color w:val="000000"/>
                <w:sz w:val="16"/>
                <w:szCs w:val="16"/>
              </w:rPr>
              <w:t xml:space="preserve"> 0.171; rank</w:t>
            </w:r>
            <w:r w:rsidR="00901E89">
              <w:rPr>
                <w:color w:val="000000"/>
                <w:sz w:val="16"/>
                <w:szCs w:val="16"/>
              </w:rPr>
              <w:t>,</w:t>
            </w:r>
            <w:r w:rsidRPr="003F2C03">
              <w:rPr>
                <w:color w:val="000000"/>
                <w:sz w:val="16"/>
                <w:szCs w:val="16"/>
              </w:rPr>
              <w:t xml:space="preserve"> 37/155</w:t>
            </w:r>
          </w:p>
          <w:p w14:paraId="74F7A155" w14:textId="3D094FFB" w:rsidR="00704EB3" w:rsidRPr="003F2C03" w:rsidRDefault="00704EB3" w:rsidP="002C2321">
            <w:pPr>
              <w:rPr>
                <w:bCs/>
                <w:color w:val="000000"/>
                <w:sz w:val="16"/>
                <w:szCs w:val="16"/>
                <w:lang w:val="en-GB"/>
              </w:rPr>
            </w:pPr>
            <w:r w:rsidRPr="00AA7688">
              <w:rPr>
                <w:b/>
                <w:color w:val="000000"/>
                <w:sz w:val="16"/>
                <w:szCs w:val="16"/>
              </w:rPr>
              <w:t xml:space="preserve">Target (2021): </w:t>
            </w:r>
            <w:r w:rsidR="00901E89">
              <w:rPr>
                <w:color w:val="000000"/>
                <w:sz w:val="16"/>
                <w:szCs w:val="16"/>
              </w:rPr>
              <w:t>V</w:t>
            </w:r>
            <w:r w:rsidRPr="003F2C03">
              <w:rPr>
                <w:color w:val="000000"/>
                <w:sz w:val="16"/>
                <w:szCs w:val="16"/>
              </w:rPr>
              <w:t xml:space="preserve">alue </w:t>
            </w:r>
            <w:r w:rsidR="00901E89">
              <w:rPr>
                <w:color w:val="000000"/>
                <w:sz w:val="16"/>
                <w:szCs w:val="16"/>
              </w:rPr>
              <w:t xml:space="preserve">less than </w:t>
            </w:r>
            <w:r w:rsidRPr="003F2C03">
              <w:rPr>
                <w:color w:val="000000"/>
                <w:sz w:val="16"/>
                <w:szCs w:val="16"/>
              </w:rPr>
              <w:t>0</w:t>
            </w:r>
            <w:r w:rsidR="00901E89">
              <w:rPr>
                <w:color w:val="000000"/>
                <w:sz w:val="16"/>
                <w:szCs w:val="16"/>
              </w:rPr>
              <w:t>.</w:t>
            </w:r>
            <w:r w:rsidRPr="003F2C03">
              <w:rPr>
                <w:color w:val="000000"/>
                <w:sz w:val="16"/>
                <w:szCs w:val="16"/>
              </w:rPr>
              <w:t>171</w:t>
            </w:r>
          </w:p>
          <w:p w14:paraId="0A04A8EF" w14:textId="77777777" w:rsidR="00704EB3" w:rsidRPr="003F2C03" w:rsidRDefault="00704EB3" w:rsidP="002C2321">
            <w:pPr>
              <w:rPr>
                <w:b/>
                <w:bCs/>
                <w:color w:val="000000"/>
                <w:sz w:val="16"/>
                <w:szCs w:val="16"/>
              </w:rPr>
            </w:pPr>
          </w:p>
          <w:p w14:paraId="6FD19AE9" w14:textId="0DA2CB1A" w:rsidR="00704EB3" w:rsidRPr="003F2C03" w:rsidRDefault="00704EB3" w:rsidP="002C2321">
            <w:pPr>
              <w:rPr>
                <w:b/>
                <w:bCs/>
                <w:color w:val="000000"/>
                <w:sz w:val="16"/>
                <w:szCs w:val="16"/>
              </w:rPr>
            </w:pPr>
            <w:r w:rsidRPr="003F2C03">
              <w:rPr>
                <w:b/>
                <w:bCs/>
                <w:color w:val="000000"/>
                <w:sz w:val="16"/>
                <w:szCs w:val="16"/>
              </w:rPr>
              <w:t>2. Global Innovation Index</w:t>
            </w:r>
          </w:p>
          <w:p w14:paraId="5730BE6D" w14:textId="77777777" w:rsidR="00704EB3" w:rsidRPr="003F2C03" w:rsidRDefault="00704EB3" w:rsidP="002C2321">
            <w:pPr>
              <w:rPr>
                <w:b/>
                <w:bCs/>
                <w:color w:val="000000"/>
                <w:sz w:val="16"/>
                <w:szCs w:val="16"/>
              </w:rPr>
            </w:pPr>
          </w:p>
          <w:p w14:paraId="04063717" w14:textId="77777777" w:rsidR="00704EB3" w:rsidRPr="003F2C03" w:rsidRDefault="00704EB3" w:rsidP="002C2321">
            <w:pPr>
              <w:rPr>
                <w:color w:val="000000"/>
                <w:sz w:val="16"/>
                <w:szCs w:val="16"/>
              </w:rPr>
            </w:pPr>
            <w:r w:rsidRPr="00AA7688">
              <w:rPr>
                <w:b/>
                <w:color w:val="000000"/>
                <w:sz w:val="16"/>
                <w:szCs w:val="16"/>
              </w:rPr>
              <w:t>Baseline (2014):</w:t>
            </w:r>
            <w:r w:rsidRPr="00AA7688">
              <w:rPr>
                <w:color w:val="000000"/>
                <w:sz w:val="16"/>
                <w:szCs w:val="16"/>
              </w:rPr>
              <w:t xml:space="preserve"> </w:t>
            </w:r>
            <w:r w:rsidRPr="003F2C03">
              <w:rPr>
                <w:color w:val="000000"/>
                <w:sz w:val="16"/>
                <w:szCs w:val="16"/>
              </w:rPr>
              <w:t>41 out of 141</w:t>
            </w:r>
          </w:p>
          <w:p w14:paraId="7D7C1883" w14:textId="09DCEA88" w:rsidR="00704EB3" w:rsidRPr="003F2C03" w:rsidRDefault="00704EB3" w:rsidP="00901E89">
            <w:pPr>
              <w:rPr>
                <w:bCs/>
                <w:color w:val="000000"/>
                <w:sz w:val="16"/>
                <w:szCs w:val="16"/>
                <w:lang w:val="en-GB"/>
              </w:rPr>
            </w:pPr>
            <w:r w:rsidRPr="00AA7688">
              <w:rPr>
                <w:b/>
                <w:color w:val="000000" w:themeColor="text1"/>
                <w:sz w:val="16"/>
                <w:szCs w:val="16"/>
              </w:rPr>
              <w:t>Target (2021):</w:t>
            </w:r>
            <w:r w:rsidRPr="00AA7688">
              <w:rPr>
                <w:color w:val="000000" w:themeColor="text1"/>
                <w:sz w:val="16"/>
                <w:szCs w:val="16"/>
              </w:rPr>
              <w:t xml:space="preserve"> </w:t>
            </w:r>
            <w:r w:rsidR="00901E89">
              <w:rPr>
                <w:color w:val="000000" w:themeColor="text1"/>
                <w:sz w:val="16"/>
                <w:szCs w:val="16"/>
              </w:rPr>
              <w:t>In t</w:t>
            </w:r>
            <w:r w:rsidRPr="003F2C03">
              <w:rPr>
                <w:color w:val="000000" w:themeColor="text1"/>
                <w:sz w:val="16"/>
                <w:szCs w:val="16"/>
              </w:rPr>
              <w:t>op 40</w:t>
            </w:r>
            <w:r w:rsidR="00901E89">
              <w:rPr>
                <w:color w:val="000000" w:themeColor="text1"/>
                <w:sz w:val="16"/>
                <w:szCs w:val="16"/>
              </w:rPr>
              <w:t xml:space="preserve"> of</w:t>
            </w:r>
            <w:r w:rsidRPr="003F2C03">
              <w:rPr>
                <w:color w:val="000000" w:themeColor="text1"/>
                <w:sz w:val="16"/>
                <w:szCs w:val="16"/>
              </w:rPr>
              <w:t xml:space="preserve"> global ranking</w:t>
            </w:r>
          </w:p>
        </w:tc>
        <w:tc>
          <w:tcPr>
            <w:tcW w:w="705" w:type="pct"/>
            <w:tcBorders>
              <w:bottom w:val="single" w:sz="4" w:space="0" w:color="auto"/>
            </w:tcBorders>
            <w:vAlign w:val="center"/>
          </w:tcPr>
          <w:p w14:paraId="1CC54B69" w14:textId="77777777" w:rsidR="00704EB3" w:rsidRPr="003F2C03" w:rsidRDefault="00704EB3" w:rsidP="002C2321">
            <w:pPr>
              <w:rPr>
                <w:iCs/>
                <w:sz w:val="16"/>
                <w:szCs w:val="16"/>
                <w:lang w:val="en-GB"/>
              </w:rPr>
            </w:pPr>
            <w:r w:rsidRPr="003F2C03">
              <w:rPr>
                <w:iCs/>
                <w:sz w:val="16"/>
                <w:szCs w:val="16"/>
                <w:lang w:val="en-GB"/>
              </w:rPr>
              <w:lastRenderedPageBreak/>
              <w:t>Human Development Report</w:t>
            </w:r>
          </w:p>
          <w:p w14:paraId="57EAAB53" w14:textId="77777777" w:rsidR="00704EB3" w:rsidRPr="003F2C03" w:rsidRDefault="00704EB3" w:rsidP="002C2321">
            <w:pPr>
              <w:rPr>
                <w:iCs/>
                <w:sz w:val="16"/>
                <w:szCs w:val="16"/>
                <w:lang w:val="en-GB"/>
              </w:rPr>
            </w:pPr>
            <w:r w:rsidRPr="003F2C03">
              <w:rPr>
                <w:iCs/>
                <w:sz w:val="16"/>
                <w:szCs w:val="16"/>
                <w:lang w:val="en-GB"/>
              </w:rPr>
              <w:t xml:space="preserve">World bank Doing Business Report </w:t>
            </w:r>
          </w:p>
          <w:p w14:paraId="60BB611F" w14:textId="77777777" w:rsidR="00704EB3" w:rsidRPr="003F2C03" w:rsidRDefault="00704EB3" w:rsidP="002C2321">
            <w:pPr>
              <w:rPr>
                <w:iCs/>
                <w:sz w:val="16"/>
                <w:szCs w:val="16"/>
                <w:lang w:val="en-GB"/>
              </w:rPr>
            </w:pPr>
          </w:p>
          <w:p w14:paraId="0F89D787" w14:textId="77777777" w:rsidR="00704EB3" w:rsidRPr="003F2C03" w:rsidRDefault="00704EB3" w:rsidP="002C2321">
            <w:pPr>
              <w:rPr>
                <w:iCs/>
                <w:sz w:val="16"/>
                <w:szCs w:val="16"/>
                <w:lang w:val="en-GB"/>
              </w:rPr>
            </w:pPr>
          </w:p>
          <w:p w14:paraId="361E13C9" w14:textId="77777777" w:rsidR="00704EB3" w:rsidRPr="003F2C03" w:rsidRDefault="00704EB3" w:rsidP="002C2321">
            <w:pPr>
              <w:rPr>
                <w:iCs/>
                <w:sz w:val="16"/>
                <w:szCs w:val="16"/>
                <w:lang w:val="en-GB"/>
              </w:rPr>
            </w:pPr>
          </w:p>
          <w:p w14:paraId="3AE9D345" w14:textId="77777777" w:rsidR="00704EB3" w:rsidRPr="003F2C03" w:rsidRDefault="00704EB3" w:rsidP="002C2321">
            <w:pPr>
              <w:rPr>
                <w:iCs/>
                <w:sz w:val="16"/>
                <w:szCs w:val="16"/>
                <w:lang w:val="en-GB"/>
              </w:rPr>
            </w:pPr>
          </w:p>
          <w:p w14:paraId="375AE252" w14:textId="77777777" w:rsidR="00704EB3" w:rsidRPr="003F2C03" w:rsidRDefault="00704EB3" w:rsidP="002C2321">
            <w:pPr>
              <w:rPr>
                <w:iCs/>
                <w:sz w:val="16"/>
                <w:szCs w:val="16"/>
                <w:lang w:val="en-GB"/>
              </w:rPr>
            </w:pPr>
          </w:p>
          <w:p w14:paraId="34A93EFA" w14:textId="77777777" w:rsidR="00704EB3" w:rsidRPr="003F2C03" w:rsidRDefault="00704EB3" w:rsidP="002C2321">
            <w:pPr>
              <w:rPr>
                <w:iCs/>
                <w:sz w:val="16"/>
                <w:szCs w:val="16"/>
                <w:lang w:val="en-GB"/>
              </w:rPr>
            </w:pPr>
          </w:p>
          <w:p w14:paraId="5BE1D8D5" w14:textId="77777777" w:rsidR="00704EB3" w:rsidRPr="003F2C03" w:rsidRDefault="00704EB3" w:rsidP="002C2321">
            <w:pPr>
              <w:rPr>
                <w:iCs/>
                <w:sz w:val="16"/>
                <w:szCs w:val="16"/>
                <w:lang w:val="en-GB"/>
              </w:rPr>
            </w:pPr>
          </w:p>
          <w:p w14:paraId="02483F52" w14:textId="77777777" w:rsidR="00704EB3" w:rsidRPr="003F2C03" w:rsidRDefault="00704EB3" w:rsidP="002C2321">
            <w:pPr>
              <w:rPr>
                <w:iCs/>
                <w:sz w:val="16"/>
                <w:szCs w:val="16"/>
                <w:lang w:val="en-GB"/>
              </w:rPr>
            </w:pPr>
          </w:p>
          <w:p w14:paraId="28B1DB65" w14:textId="77777777" w:rsidR="00704EB3" w:rsidRPr="003F2C03" w:rsidRDefault="00704EB3" w:rsidP="002C2321">
            <w:pPr>
              <w:rPr>
                <w:iCs/>
                <w:sz w:val="16"/>
                <w:szCs w:val="16"/>
                <w:lang w:val="en-GB"/>
              </w:rPr>
            </w:pPr>
          </w:p>
          <w:p w14:paraId="4A3A8AC8" w14:textId="77777777" w:rsidR="00704EB3" w:rsidRPr="003F2C03" w:rsidRDefault="00704EB3" w:rsidP="002C2321">
            <w:pPr>
              <w:rPr>
                <w:iCs/>
                <w:sz w:val="16"/>
                <w:szCs w:val="16"/>
                <w:lang w:val="en-GB"/>
              </w:rPr>
            </w:pPr>
          </w:p>
          <w:p w14:paraId="42EB0A60" w14:textId="77777777" w:rsidR="00704EB3" w:rsidRPr="003F2C03" w:rsidRDefault="00704EB3" w:rsidP="002C2321">
            <w:pPr>
              <w:rPr>
                <w:iCs/>
                <w:sz w:val="16"/>
                <w:szCs w:val="16"/>
                <w:lang w:val="en-GB"/>
              </w:rPr>
            </w:pPr>
          </w:p>
          <w:p w14:paraId="4DF9D80B" w14:textId="77777777" w:rsidR="00704EB3" w:rsidRPr="003F2C03" w:rsidRDefault="00704EB3" w:rsidP="002C2321">
            <w:pPr>
              <w:rPr>
                <w:iCs/>
                <w:sz w:val="16"/>
                <w:szCs w:val="16"/>
                <w:lang w:val="en-GB"/>
              </w:rPr>
            </w:pPr>
          </w:p>
          <w:p w14:paraId="04E20FAB" w14:textId="77777777" w:rsidR="00704EB3" w:rsidRPr="003F2C03" w:rsidRDefault="00704EB3" w:rsidP="002C2321">
            <w:pPr>
              <w:rPr>
                <w:iCs/>
                <w:sz w:val="16"/>
                <w:szCs w:val="16"/>
                <w:lang w:val="en-GB"/>
              </w:rPr>
            </w:pPr>
          </w:p>
          <w:p w14:paraId="6F7FB549" w14:textId="77777777" w:rsidR="00704EB3" w:rsidRPr="003F2C03" w:rsidRDefault="00704EB3" w:rsidP="002C2321">
            <w:pPr>
              <w:rPr>
                <w:iCs/>
                <w:sz w:val="16"/>
                <w:szCs w:val="16"/>
                <w:lang w:val="en-GB"/>
              </w:rPr>
            </w:pPr>
          </w:p>
          <w:p w14:paraId="115AAB22" w14:textId="77777777" w:rsidR="00704EB3" w:rsidRPr="003F2C03" w:rsidRDefault="00704EB3" w:rsidP="002C2321">
            <w:pPr>
              <w:rPr>
                <w:iCs/>
                <w:sz w:val="16"/>
                <w:szCs w:val="16"/>
                <w:lang w:val="en-GB"/>
              </w:rPr>
            </w:pPr>
          </w:p>
          <w:p w14:paraId="5E63E355" w14:textId="77777777" w:rsidR="00704EB3" w:rsidRPr="003F2C03" w:rsidRDefault="00704EB3" w:rsidP="002C2321">
            <w:pPr>
              <w:rPr>
                <w:iCs/>
                <w:sz w:val="16"/>
                <w:szCs w:val="16"/>
                <w:lang w:val="en-GB"/>
              </w:rPr>
            </w:pPr>
          </w:p>
          <w:p w14:paraId="3915259F" w14:textId="77777777" w:rsidR="00704EB3" w:rsidRPr="003F2C03" w:rsidRDefault="00704EB3" w:rsidP="002C2321">
            <w:pPr>
              <w:rPr>
                <w:iCs/>
                <w:sz w:val="16"/>
                <w:szCs w:val="16"/>
                <w:lang w:val="en-GB"/>
              </w:rPr>
            </w:pPr>
          </w:p>
          <w:p w14:paraId="7B511442" w14:textId="77777777" w:rsidR="00704EB3" w:rsidRPr="003F2C03" w:rsidRDefault="00704EB3" w:rsidP="002C2321">
            <w:pPr>
              <w:rPr>
                <w:iCs/>
                <w:sz w:val="16"/>
                <w:szCs w:val="16"/>
                <w:lang w:val="en-GB"/>
              </w:rPr>
            </w:pPr>
          </w:p>
          <w:p w14:paraId="70831D76" w14:textId="77777777" w:rsidR="00704EB3" w:rsidRPr="003F2C03" w:rsidRDefault="00704EB3" w:rsidP="002C2321">
            <w:pPr>
              <w:rPr>
                <w:iCs/>
                <w:sz w:val="16"/>
                <w:szCs w:val="16"/>
                <w:lang w:val="en-GB"/>
              </w:rPr>
            </w:pPr>
          </w:p>
          <w:p w14:paraId="710E30E0" w14:textId="77777777" w:rsidR="00704EB3" w:rsidRPr="003F2C03" w:rsidRDefault="00704EB3" w:rsidP="002C2321">
            <w:pPr>
              <w:rPr>
                <w:iCs/>
                <w:sz w:val="16"/>
                <w:szCs w:val="16"/>
                <w:lang w:val="en-GB"/>
              </w:rPr>
            </w:pPr>
          </w:p>
          <w:p w14:paraId="4875E8B3" w14:textId="77777777" w:rsidR="00704EB3" w:rsidRPr="003F2C03" w:rsidRDefault="00704EB3" w:rsidP="002C2321">
            <w:pPr>
              <w:rPr>
                <w:iCs/>
                <w:sz w:val="16"/>
                <w:szCs w:val="16"/>
                <w:lang w:val="en-GB"/>
              </w:rPr>
            </w:pPr>
          </w:p>
          <w:p w14:paraId="6E6D0772" w14:textId="77777777" w:rsidR="00704EB3" w:rsidRPr="003F2C03" w:rsidRDefault="00704EB3" w:rsidP="002C2321">
            <w:pPr>
              <w:rPr>
                <w:iCs/>
                <w:sz w:val="16"/>
                <w:szCs w:val="16"/>
                <w:lang w:val="en-GB"/>
              </w:rPr>
            </w:pPr>
          </w:p>
          <w:p w14:paraId="67C39A3F" w14:textId="77777777" w:rsidR="00704EB3" w:rsidRPr="003F2C03" w:rsidRDefault="00704EB3" w:rsidP="002C2321">
            <w:pPr>
              <w:rPr>
                <w:iCs/>
                <w:sz w:val="16"/>
                <w:szCs w:val="16"/>
                <w:lang w:val="en-GB"/>
              </w:rPr>
            </w:pPr>
          </w:p>
          <w:p w14:paraId="62823236" w14:textId="77777777" w:rsidR="00704EB3" w:rsidRPr="003F2C03" w:rsidRDefault="00704EB3" w:rsidP="002C2321">
            <w:pPr>
              <w:rPr>
                <w:iCs/>
                <w:sz w:val="16"/>
                <w:szCs w:val="16"/>
                <w:lang w:val="en-GB"/>
              </w:rPr>
            </w:pPr>
          </w:p>
          <w:p w14:paraId="56EAE890" w14:textId="7B1E1455" w:rsidR="00CF476E" w:rsidRDefault="00704EB3" w:rsidP="002C2321">
            <w:pPr>
              <w:rPr>
                <w:iCs/>
                <w:sz w:val="16"/>
                <w:szCs w:val="16"/>
                <w:lang w:val="en-GB"/>
              </w:rPr>
            </w:pPr>
            <w:r w:rsidRPr="003F2C03">
              <w:rPr>
                <w:iCs/>
                <w:sz w:val="16"/>
                <w:szCs w:val="16"/>
                <w:lang w:val="en-GB"/>
              </w:rPr>
              <w:t>World Intellectual Property Organi</w:t>
            </w:r>
            <w:r w:rsidR="00CF476E">
              <w:rPr>
                <w:iCs/>
                <w:sz w:val="16"/>
                <w:szCs w:val="16"/>
                <w:lang w:val="en-GB"/>
              </w:rPr>
              <w:t>z</w:t>
            </w:r>
            <w:r w:rsidRPr="003F2C03">
              <w:rPr>
                <w:iCs/>
                <w:sz w:val="16"/>
                <w:szCs w:val="16"/>
                <w:lang w:val="en-GB"/>
              </w:rPr>
              <w:t xml:space="preserve">ation </w:t>
            </w:r>
          </w:p>
          <w:p w14:paraId="540A7902" w14:textId="4BFEF22C" w:rsidR="00704EB3" w:rsidRPr="003F2C03" w:rsidRDefault="00704EB3" w:rsidP="002C2321">
            <w:pPr>
              <w:rPr>
                <w:iCs/>
                <w:sz w:val="16"/>
                <w:szCs w:val="16"/>
                <w:lang w:val="en-GB"/>
              </w:rPr>
            </w:pPr>
            <w:r w:rsidRPr="003F2C03">
              <w:rPr>
                <w:iCs/>
                <w:sz w:val="16"/>
                <w:szCs w:val="16"/>
                <w:lang w:val="en-GB"/>
              </w:rPr>
              <w:t>Johnson Cornell University and INSEAD Business School</w:t>
            </w:r>
          </w:p>
        </w:tc>
        <w:tc>
          <w:tcPr>
            <w:tcW w:w="1624" w:type="pct"/>
            <w:vMerge w:val="restart"/>
            <w:tcBorders>
              <w:bottom w:val="single" w:sz="4" w:space="0" w:color="auto"/>
            </w:tcBorders>
            <w:tcMar>
              <w:top w:w="72" w:type="dxa"/>
              <w:left w:w="144" w:type="dxa"/>
              <w:bottom w:w="72" w:type="dxa"/>
              <w:right w:w="144" w:type="dxa"/>
            </w:tcMar>
          </w:tcPr>
          <w:p w14:paraId="30D13112" w14:textId="4B871200" w:rsidR="00704EB3" w:rsidRPr="003F2C03" w:rsidRDefault="00704EB3" w:rsidP="002C2321">
            <w:pPr>
              <w:tabs>
                <w:tab w:val="left" w:pos="1742"/>
              </w:tabs>
              <w:rPr>
                <w:color w:val="000000" w:themeColor="text1"/>
                <w:sz w:val="16"/>
                <w:szCs w:val="16"/>
              </w:rPr>
            </w:pPr>
            <w:r w:rsidRPr="003F2C03">
              <w:rPr>
                <w:b/>
                <w:iCs/>
                <w:color w:val="000000"/>
                <w:sz w:val="16"/>
                <w:szCs w:val="16"/>
                <w:lang w:val="en-GB"/>
              </w:rPr>
              <w:lastRenderedPageBreak/>
              <w:t>Output 4.1</w:t>
            </w:r>
            <w:r w:rsidR="00CF476E">
              <w:rPr>
                <w:b/>
                <w:iCs/>
                <w:color w:val="000000"/>
                <w:sz w:val="16"/>
                <w:szCs w:val="16"/>
                <w:lang w:val="en-GB"/>
              </w:rPr>
              <w:t>:</w:t>
            </w:r>
            <w:r w:rsidRPr="003F2C03">
              <w:rPr>
                <w:iCs/>
                <w:color w:val="000000"/>
                <w:sz w:val="16"/>
                <w:szCs w:val="16"/>
                <w:lang w:val="en-GB"/>
              </w:rPr>
              <w:t xml:space="preserve"> </w:t>
            </w:r>
            <w:r w:rsidRPr="003F2C03">
              <w:rPr>
                <w:color w:val="000000" w:themeColor="text1"/>
                <w:sz w:val="16"/>
                <w:szCs w:val="16"/>
              </w:rPr>
              <w:t>National</w:t>
            </w:r>
            <w:r w:rsidRPr="003F2C03">
              <w:rPr>
                <w:b/>
                <w:color w:val="000000" w:themeColor="text1"/>
                <w:sz w:val="16"/>
                <w:szCs w:val="16"/>
              </w:rPr>
              <w:t xml:space="preserve"> </w:t>
            </w:r>
            <w:r w:rsidRPr="003F2C03">
              <w:rPr>
                <w:color w:val="000000" w:themeColor="text1"/>
                <w:sz w:val="16"/>
                <w:szCs w:val="16"/>
              </w:rPr>
              <w:t xml:space="preserve">policies foster good business environment and sustainable private sector growth </w:t>
            </w:r>
          </w:p>
          <w:p w14:paraId="6454563B" w14:textId="77777777" w:rsidR="00704EB3" w:rsidRPr="003F2C03" w:rsidRDefault="00704EB3" w:rsidP="002C2321">
            <w:pPr>
              <w:tabs>
                <w:tab w:val="left" w:pos="1742"/>
              </w:tabs>
              <w:rPr>
                <w:color w:val="000000" w:themeColor="text1"/>
                <w:sz w:val="16"/>
                <w:szCs w:val="16"/>
                <w:lang w:eastAsia="mk-MK"/>
              </w:rPr>
            </w:pPr>
            <w:r w:rsidRPr="00E445CA">
              <w:rPr>
                <w:b/>
                <w:color w:val="000000" w:themeColor="text1"/>
                <w:sz w:val="16"/>
                <w:szCs w:val="16"/>
                <w:lang w:eastAsia="mk-MK"/>
              </w:rPr>
              <w:t>Indicator 4.1.1:</w:t>
            </w:r>
            <w:r w:rsidRPr="003F2C03">
              <w:rPr>
                <w:color w:val="000000" w:themeColor="text1"/>
                <w:sz w:val="16"/>
                <w:szCs w:val="16"/>
                <w:lang w:eastAsia="mk-MK"/>
              </w:rPr>
              <w:t xml:space="preserve"> Number of UNDP recommendations on fostering good business environment and private sector growth applied by the Government. </w:t>
            </w:r>
          </w:p>
          <w:p w14:paraId="127CF558" w14:textId="77777777" w:rsidR="00704EB3" w:rsidRPr="003F2C03" w:rsidRDefault="00704EB3" w:rsidP="002C2321">
            <w:pPr>
              <w:tabs>
                <w:tab w:val="left" w:pos="1742"/>
              </w:tabs>
              <w:rPr>
                <w:color w:val="000000" w:themeColor="text1"/>
                <w:sz w:val="16"/>
                <w:szCs w:val="16"/>
                <w:lang w:eastAsia="mk-MK"/>
              </w:rPr>
            </w:pPr>
            <w:r w:rsidRPr="000168CB">
              <w:rPr>
                <w:b/>
                <w:color w:val="000000" w:themeColor="text1"/>
                <w:sz w:val="16"/>
                <w:szCs w:val="16"/>
                <w:lang w:eastAsia="mk-MK"/>
              </w:rPr>
              <w:t>Baseline</w:t>
            </w:r>
            <w:r w:rsidRPr="00AA7688">
              <w:rPr>
                <w:b/>
                <w:color w:val="000000" w:themeColor="text1"/>
                <w:sz w:val="16"/>
                <w:szCs w:val="16"/>
                <w:lang w:eastAsia="mk-MK"/>
              </w:rPr>
              <w:t xml:space="preserve"> (2015):</w:t>
            </w:r>
            <w:r w:rsidRPr="003F2C03">
              <w:rPr>
                <w:color w:val="000000" w:themeColor="text1"/>
                <w:sz w:val="16"/>
                <w:szCs w:val="16"/>
                <w:lang w:eastAsia="mk-MK"/>
              </w:rPr>
              <w:t xml:space="preserve"> 0 </w:t>
            </w:r>
          </w:p>
          <w:p w14:paraId="5EDCF7A0" w14:textId="77777777" w:rsidR="00704EB3" w:rsidRPr="003F2C03" w:rsidRDefault="00704EB3" w:rsidP="002C2321">
            <w:pPr>
              <w:tabs>
                <w:tab w:val="left" w:pos="1742"/>
              </w:tabs>
              <w:rPr>
                <w:color w:val="000000" w:themeColor="text1"/>
                <w:sz w:val="16"/>
                <w:szCs w:val="16"/>
                <w:lang w:eastAsia="mk-MK"/>
              </w:rPr>
            </w:pPr>
            <w:r w:rsidRPr="003F2C03">
              <w:rPr>
                <w:b/>
                <w:color w:val="000000" w:themeColor="text1"/>
                <w:sz w:val="16"/>
                <w:szCs w:val="16"/>
                <w:lang w:eastAsia="mk-MK"/>
              </w:rPr>
              <w:t>Target</w:t>
            </w:r>
            <w:r w:rsidRPr="003F2C03">
              <w:rPr>
                <w:color w:val="000000" w:themeColor="text1"/>
                <w:sz w:val="16"/>
                <w:szCs w:val="16"/>
                <w:lang w:eastAsia="mk-MK"/>
              </w:rPr>
              <w:t xml:space="preserve"> </w:t>
            </w:r>
            <w:r w:rsidRPr="00AA7688">
              <w:rPr>
                <w:b/>
                <w:color w:val="000000" w:themeColor="text1"/>
                <w:sz w:val="16"/>
                <w:szCs w:val="16"/>
                <w:lang w:eastAsia="mk-MK"/>
              </w:rPr>
              <w:t>(2020):</w:t>
            </w:r>
            <w:r w:rsidRPr="003F2C03">
              <w:rPr>
                <w:color w:val="000000" w:themeColor="text1"/>
                <w:sz w:val="16"/>
                <w:szCs w:val="16"/>
                <w:lang w:eastAsia="mk-MK"/>
              </w:rPr>
              <w:t xml:space="preserve"> </w:t>
            </w:r>
            <w:r w:rsidRPr="003F2C03">
              <w:rPr>
                <w:iCs/>
                <w:color w:val="000000" w:themeColor="text1"/>
                <w:sz w:val="16"/>
                <w:szCs w:val="16"/>
              </w:rPr>
              <w:t xml:space="preserve">25 </w:t>
            </w:r>
            <w:r w:rsidRPr="003F2C03">
              <w:rPr>
                <w:color w:val="000000" w:themeColor="text1"/>
                <w:sz w:val="16"/>
                <w:szCs w:val="16"/>
                <w:lang w:eastAsia="mk-MK"/>
              </w:rPr>
              <w:t xml:space="preserve"> </w:t>
            </w:r>
          </w:p>
          <w:p w14:paraId="5E1499FA" w14:textId="77777777" w:rsidR="00704EB3" w:rsidRPr="003F2C03" w:rsidRDefault="00704EB3" w:rsidP="002C2321">
            <w:pPr>
              <w:rPr>
                <w:iCs/>
                <w:color w:val="000000" w:themeColor="text1"/>
                <w:sz w:val="16"/>
                <w:szCs w:val="16"/>
              </w:rPr>
            </w:pPr>
            <w:r w:rsidRPr="003F2C03">
              <w:rPr>
                <w:b/>
                <w:iCs/>
                <w:color w:val="000000" w:themeColor="text1"/>
                <w:sz w:val="16"/>
                <w:szCs w:val="16"/>
              </w:rPr>
              <w:t>Means of verification:</w:t>
            </w:r>
            <w:r w:rsidRPr="003F2C03">
              <w:rPr>
                <w:iCs/>
                <w:color w:val="000000" w:themeColor="text1"/>
                <w:sz w:val="16"/>
                <w:szCs w:val="16"/>
              </w:rPr>
              <w:t xml:space="preserve"> Annual UNDP project reports</w:t>
            </w:r>
          </w:p>
          <w:p w14:paraId="5763F864" w14:textId="77777777" w:rsidR="00704EB3" w:rsidRPr="003F2C03" w:rsidRDefault="00704EB3" w:rsidP="002C2321">
            <w:pPr>
              <w:rPr>
                <w:iCs/>
                <w:color w:val="000000" w:themeColor="text1"/>
                <w:sz w:val="16"/>
                <w:szCs w:val="16"/>
              </w:rPr>
            </w:pPr>
          </w:p>
          <w:p w14:paraId="313CF5BC" w14:textId="0E9D4E0A" w:rsidR="00704EB3" w:rsidRPr="003F2C03" w:rsidRDefault="00704EB3" w:rsidP="002C2321">
            <w:pPr>
              <w:rPr>
                <w:color w:val="000000" w:themeColor="text1"/>
                <w:sz w:val="16"/>
                <w:szCs w:val="16"/>
                <w:lang w:eastAsia="mk-MK"/>
              </w:rPr>
            </w:pPr>
            <w:r w:rsidRPr="003F2C03">
              <w:rPr>
                <w:b/>
                <w:color w:val="000000" w:themeColor="text1"/>
                <w:sz w:val="16"/>
                <w:szCs w:val="16"/>
                <w:lang w:eastAsia="mk-MK"/>
              </w:rPr>
              <w:t>Indicator 4.1.2</w:t>
            </w:r>
            <w:r w:rsidR="00E445CA">
              <w:rPr>
                <w:b/>
                <w:color w:val="000000" w:themeColor="text1"/>
                <w:sz w:val="16"/>
                <w:szCs w:val="16"/>
                <w:lang w:eastAsia="mk-MK"/>
              </w:rPr>
              <w:t>:</w:t>
            </w:r>
            <w:r w:rsidRPr="003F2C03">
              <w:rPr>
                <w:b/>
                <w:color w:val="000000" w:themeColor="text1"/>
                <w:sz w:val="16"/>
                <w:szCs w:val="16"/>
                <w:lang w:eastAsia="mk-MK"/>
              </w:rPr>
              <w:t xml:space="preserve"> </w:t>
            </w:r>
            <w:r w:rsidRPr="003F2C03">
              <w:rPr>
                <w:color w:val="000000" w:themeColor="text1"/>
                <w:sz w:val="16"/>
                <w:szCs w:val="16"/>
                <w:lang w:eastAsia="mk-MK"/>
              </w:rPr>
              <w:t>Extent of private sector’s satisfaction with the business enabling environment</w:t>
            </w:r>
          </w:p>
          <w:p w14:paraId="0AAC0C3C" w14:textId="77777777" w:rsidR="00704EB3" w:rsidRPr="003F2C03" w:rsidRDefault="00704EB3" w:rsidP="002C2321">
            <w:pPr>
              <w:rPr>
                <w:color w:val="000000" w:themeColor="text1"/>
                <w:sz w:val="16"/>
                <w:szCs w:val="16"/>
                <w:lang w:eastAsia="mk-MK"/>
              </w:rPr>
            </w:pPr>
            <w:r w:rsidRPr="003F2C03">
              <w:rPr>
                <w:b/>
                <w:color w:val="000000" w:themeColor="text1"/>
                <w:sz w:val="16"/>
                <w:szCs w:val="16"/>
                <w:lang w:eastAsia="mk-MK"/>
              </w:rPr>
              <w:t>Baseline</w:t>
            </w:r>
            <w:r w:rsidRPr="003F2C03">
              <w:rPr>
                <w:color w:val="000000" w:themeColor="text1"/>
                <w:sz w:val="16"/>
                <w:szCs w:val="16"/>
                <w:lang w:eastAsia="mk-MK"/>
              </w:rPr>
              <w:t xml:space="preserve"> </w:t>
            </w:r>
            <w:r w:rsidRPr="00AA7688">
              <w:rPr>
                <w:b/>
                <w:color w:val="000000" w:themeColor="text1"/>
                <w:sz w:val="16"/>
                <w:szCs w:val="16"/>
                <w:lang w:eastAsia="mk-MK"/>
              </w:rPr>
              <w:t>(2015):</w:t>
            </w:r>
            <w:r w:rsidRPr="003F2C03">
              <w:rPr>
                <w:color w:val="000000" w:themeColor="text1"/>
                <w:sz w:val="16"/>
                <w:szCs w:val="16"/>
                <w:lang w:eastAsia="mk-MK"/>
              </w:rPr>
              <w:t xml:space="preserve">  3</w:t>
            </w:r>
          </w:p>
          <w:p w14:paraId="055E1299" w14:textId="77777777" w:rsidR="00704EB3" w:rsidRPr="003F2C03" w:rsidRDefault="00704EB3" w:rsidP="002C2321">
            <w:pPr>
              <w:rPr>
                <w:color w:val="000000" w:themeColor="text1"/>
                <w:sz w:val="16"/>
                <w:szCs w:val="16"/>
                <w:lang w:eastAsia="mk-MK"/>
              </w:rPr>
            </w:pPr>
            <w:r w:rsidRPr="003F2C03">
              <w:rPr>
                <w:b/>
                <w:color w:val="000000" w:themeColor="text1"/>
                <w:sz w:val="16"/>
                <w:szCs w:val="16"/>
                <w:lang w:eastAsia="mk-MK"/>
              </w:rPr>
              <w:t>Target</w:t>
            </w:r>
            <w:r w:rsidRPr="003F2C03">
              <w:rPr>
                <w:color w:val="000000" w:themeColor="text1"/>
                <w:sz w:val="16"/>
                <w:szCs w:val="16"/>
                <w:lang w:eastAsia="mk-MK"/>
              </w:rPr>
              <w:t xml:space="preserve"> </w:t>
            </w:r>
            <w:r w:rsidRPr="00AA7688">
              <w:rPr>
                <w:b/>
                <w:color w:val="000000" w:themeColor="text1"/>
                <w:sz w:val="16"/>
                <w:szCs w:val="16"/>
                <w:lang w:eastAsia="mk-MK"/>
              </w:rPr>
              <w:t>(2020):</w:t>
            </w:r>
            <w:r w:rsidRPr="003F2C03">
              <w:rPr>
                <w:color w:val="000000" w:themeColor="text1"/>
                <w:sz w:val="16"/>
                <w:szCs w:val="16"/>
                <w:lang w:eastAsia="mk-MK"/>
              </w:rPr>
              <w:t xml:space="preserve"> 4</w:t>
            </w:r>
          </w:p>
          <w:p w14:paraId="04FC1EEC" w14:textId="43C7971F" w:rsidR="00704EB3" w:rsidRPr="003F2C03" w:rsidRDefault="00704EB3" w:rsidP="002C2321">
            <w:pPr>
              <w:rPr>
                <w:color w:val="000000" w:themeColor="text1"/>
                <w:sz w:val="16"/>
                <w:szCs w:val="16"/>
                <w:lang w:eastAsia="mk-MK"/>
              </w:rPr>
            </w:pPr>
            <w:r w:rsidRPr="003F2C03">
              <w:rPr>
                <w:b/>
                <w:color w:val="000000" w:themeColor="text1"/>
                <w:sz w:val="16"/>
                <w:szCs w:val="16"/>
                <w:lang w:eastAsia="mk-MK"/>
              </w:rPr>
              <w:t>Means of verification:</w:t>
            </w:r>
            <w:r w:rsidRPr="003F2C03">
              <w:rPr>
                <w:color w:val="000000" w:themeColor="text1"/>
                <w:sz w:val="16"/>
                <w:szCs w:val="16"/>
                <w:lang w:eastAsia="mk-MK"/>
              </w:rPr>
              <w:t xml:space="preserve"> Chamber of </w:t>
            </w:r>
            <w:r w:rsidR="000168CB">
              <w:rPr>
                <w:color w:val="000000" w:themeColor="text1"/>
                <w:sz w:val="16"/>
                <w:szCs w:val="16"/>
                <w:lang w:eastAsia="mk-MK"/>
              </w:rPr>
              <w:t>C</w:t>
            </w:r>
            <w:r w:rsidRPr="003F2C03">
              <w:rPr>
                <w:color w:val="000000" w:themeColor="text1"/>
                <w:sz w:val="16"/>
                <w:szCs w:val="16"/>
                <w:lang w:eastAsia="mk-MK"/>
              </w:rPr>
              <w:t xml:space="preserve">ommerce report </w:t>
            </w:r>
          </w:p>
          <w:p w14:paraId="573B0512" w14:textId="77777777" w:rsidR="00704EB3" w:rsidRPr="003F2C03" w:rsidRDefault="00704EB3" w:rsidP="002C2321">
            <w:pPr>
              <w:rPr>
                <w:color w:val="000000" w:themeColor="text1"/>
                <w:sz w:val="16"/>
                <w:szCs w:val="16"/>
                <w:lang w:eastAsia="mk-MK"/>
              </w:rPr>
            </w:pPr>
          </w:p>
          <w:p w14:paraId="0E3E6C5E" w14:textId="191CCDB3" w:rsidR="00704EB3" w:rsidRPr="003F2C03" w:rsidRDefault="00704EB3" w:rsidP="002C2321">
            <w:pPr>
              <w:tabs>
                <w:tab w:val="left" w:pos="1742"/>
              </w:tabs>
              <w:rPr>
                <w:iCs/>
                <w:color w:val="000000" w:themeColor="text1"/>
                <w:sz w:val="16"/>
                <w:szCs w:val="16"/>
              </w:rPr>
            </w:pPr>
            <w:r w:rsidRPr="003F2C03">
              <w:rPr>
                <w:b/>
                <w:iCs/>
                <w:color w:val="000000" w:themeColor="text1"/>
                <w:sz w:val="16"/>
                <w:szCs w:val="16"/>
              </w:rPr>
              <w:t>Output 4.2</w:t>
            </w:r>
            <w:r w:rsidR="00E445CA">
              <w:rPr>
                <w:b/>
                <w:iCs/>
                <w:color w:val="000000" w:themeColor="text1"/>
                <w:sz w:val="16"/>
                <w:szCs w:val="16"/>
              </w:rPr>
              <w:t>:</w:t>
            </w:r>
            <w:r w:rsidRPr="003F2C03">
              <w:rPr>
                <w:iCs/>
                <w:color w:val="000000" w:themeColor="text1"/>
                <w:sz w:val="16"/>
                <w:szCs w:val="16"/>
              </w:rPr>
              <w:t xml:space="preserve"> National institutions have improved capacities to develop, implement and monitor policies and measures that help to generate jobs</w:t>
            </w:r>
          </w:p>
          <w:p w14:paraId="0BD00A0C" w14:textId="430C396A" w:rsidR="00704EB3" w:rsidRPr="003F2C03" w:rsidRDefault="00704EB3" w:rsidP="002C2321">
            <w:pPr>
              <w:autoSpaceDE w:val="0"/>
              <w:autoSpaceDN w:val="0"/>
              <w:adjustRightInd w:val="0"/>
              <w:rPr>
                <w:iCs/>
                <w:color w:val="000000" w:themeColor="text1"/>
                <w:sz w:val="16"/>
                <w:szCs w:val="16"/>
              </w:rPr>
            </w:pPr>
            <w:r w:rsidRPr="003F2C03">
              <w:rPr>
                <w:b/>
                <w:bCs/>
                <w:color w:val="000000"/>
                <w:sz w:val="16"/>
                <w:szCs w:val="16"/>
                <w:lang w:val="en-GB" w:eastAsia="en-GB"/>
              </w:rPr>
              <w:lastRenderedPageBreak/>
              <w:t>Indicator 4.2.1</w:t>
            </w:r>
            <w:r w:rsidRPr="003F2C03">
              <w:rPr>
                <w:bCs/>
                <w:color w:val="000000"/>
                <w:sz w:val="16"/>
                <w:szCs w:val="16"/>
                <w:lang w:val="en-GB" w:eastAsia="en-GB"/>
              </w:rPr>
              <w:t xml:space="preserve">: </w:t>
            </w:r>
            <w:r w:rsidRPr="003F2C03">
              <w:rPr>
                <w:iCs/>
                <w:color w:val="000000" w:themeColor="text1"/>
                <w:sz w:val="16"/>
                <w:szCs w:val="16"/>
              </w:rPr>
              <w:t>Extent to which policies, systems and/or institutional measures are in place at national and subnational levels to generate and strengthen employment and livelihoods</w:t>
            </w:r>
          </w:p>
          <w:p w14:paraId="471E352B" w14:textId="182A78A1" w:rsidR="00704EB3" w:rsidRPr="003F2C03" w:rsidRDefault="00704EB3" w:rsidP="002C2321">
            <w:pPr>
              <w:autoSpaceDE w:val="0"/>
              <w:autoSpaceDN w:val="0"/>
              <w:adjustRightInd w:val="0"/>
              <w:rPr>
                <w:iCs/>
                <w:color w:val="000000" w:themeColor="text1"/>
                <w:sz w:val="16"/>
                <w:szCs w:val="16"/>
              </w:rPr>
            </w:pPr>
            <w:r w:rsidRPr="003F2C03">
              <w:rPr>
                <w:b/>
                <w:iCs/>
                <w:color w:val="000000" w:themeColor="text1"/>
                <w:sz w:val="16"/>
                <w:szCs w:val="16"/>
              </w:rPr>
              <w:t>Baseline</w:t>
            </w:r>
            <w:r w:rsidRPr="003F2C03">
              <w:rPr>
                <w:iCs/>
                <w:color w:val="000000" w:themeColor="text1"/>
                <w:sz w:val="16"/>
                <w:szCs w:val="16"/>
              </w:rPr>
              <w:t xml:space="preserve"> </w:t>
            </w:r>
            <w:r w:rsidRPr="00AA7688">
              <w:rPr>
                <w:b/>
                <w:iCs/>
                <w:color w:val="000000" w:themeColor="text1"/>
                <w:sz w:val="16"/>
                <w:szCs w:val="16"/>
              </w:rPr>
              <w:t>(2015)</w:t>
            </w:r>
            <w:r w:rsidR="000168CB" w:rsidRPr="00AA7688">
              <w:rPr>
                <w:b/>
                <w:iCs/>
                <w:color w:val="000000" w:themeColor="text1"/>
                <w:sz w:val="16"/>
                <w:szCs w:val="16"/>
              </w:rPr>
              <w:t>:</w:t>
            </w:r>
            <w:r w:rsidRPr="00AA7688">
              <w:rPr>
                <w:b/>
                <w:iCs/>
                <w:color w:val="000000" w:themeColor="text1"/>
                <w:sz w:val="16"/>
                <w:szCs w:val="16"/>
              </w:rPr>
              <w:t xml:space="preserve"> </w:t>
            </w:r>
            <w:r w:rsidRPr="003F2C03">
              <w:rPr>
                <w:iCs/>
                <w:color w:val="000000" w:themeColor="text1"/>
                <w:sz w:val="16"/>
                <w:szCs w:val="16"/>
              </w:rPr>
              <w:t xml:space="preserve">3 </w:t>
            </w:r>
          </w:p>
          <w:p w14:paraId="6CEA7F0C" w14:textId="3D6B9286" w:rsidR="00704EB3" w:rsidRPr="003F2C03" w:rsidRDefault="00704EB3" w:rsidP="002C2321">
            <w:pPr>
              <w:autoSpaceDE w:val="0"/>
              <w:autoSpaceDN w:val="0"/>
              <w:adjustRightInd w:val="0"/>
              <w:rPr>
                <w:iCs/>
                <w:color w:val="000000" w:themeColor="text1"/>
                <w:sz w:val="16"/>
                <w:szCs w:val="16"/>
              </w:rPr>
            </w:pPr>
            <w:r w:rsidRPr="003F2C03">
              <w:rPr>
                <w:b/>
                <w:iCs/>
                <w:color w:val="000000" w:themeColor="text1"/>
                <w:sz w:val="16"/>
                <w:szCs w:val="16"/>
              </w:rPr>
              <w:t xml:space="preserve">Target </w:t>
            </w:r>
            <w:r w:rsidR="000168CB">
              <w:rPr>
                <w:b/>
                <w:iCs/>
                <w:color w:val="000000" w:themeColor="text1"/>
                <w:sz w:val="16"/>
                <w:szCs w:val="16"/>
              </w:rPr>
              <w:t>(</w:t>
            </w:r>
            <w:r w:rsidRPr="003F2C03">
              <w:rPr>
                <w:b/>
                <w:iCs/>
                <w:color w:val="000000" w:themeColor="text1"/>
                <w:sz w:val="16"/>
                <w:szCs w:val="16"/>
              </w:rPr>
              <w:t>2021</w:t>
            </w:r>
            <w:r w:rsidR="000168CB">
              <w:rPr>
                <w:b/>
                <w:iCs/>
                <w:color w:val="000000" w:themeColor="text1"/>
                <w:sz w:val="16"/>
                <w:szCs w:val="16"/>
              </w:rPr>
              <w:t>)</w:t>
            </w:r>
            <w:r w:rsidRPr="003F2C03">
              <w:rPr>
                <w:iCs/>
                <w:color w:val="000000" w:themeColor="text1"/>
                <w:sz w:val="16"/>
                <w:szCs w:val="16"/>
              </w:rPr>
              <w:t>: 4</w:t>
            </w:r>
          </w:p>
          <w:p w14:paraId="7B18D3AF" w14:textId="5581536E" w:rsidR="00704EB3" w:rsidRPr="003F2C03" w:rsidRDefault="00704EB3" w:rsidP="002C2321">
            <w:pPr>
              <w:autoSpaceDE w:val="0"/>
              <w:autoSpaceDN w:val="0"/>
              <w:adjustRightInd w:val="0"/>
              <w:rPr>
                <w:bCs/>
                <w:color w:val="000000"/>
                <w:sz w:val="16"/>
                <w:szCs w:val="16"/>
                <w:lang w:val="en-GB" w:eastAsia="en-GB"/>
              </w:rPr>
            </w:pPr>
            <w:r w:rsidRPr="003F2C03">
              <w:rPr>
                <w:b/>
                <w:bCs/>
                <w:color w:val="000000"/>
                <w:sz w:val="16"/>
                <w:szCs w:val="16"/>
                <w:lang w:val="en-GB" w:eastAsia="en-GB"/>
              </w:rPr>
              <w:t xml:space="preserve">Means of verification: </w:t>
            </w:r>
            <w:r w:rsidRPr="003F2C03">
              <w:rPr>
                <w:bCs/>
                <w:color w:val="000000"/>
                <w:sz w:val="16"/>
                <w:szCs w:val="16"/>
                <w:lang w:val="en-GB" w:eastAsia="en-GB"/>
              </w:rPr>
              <w:t xml:space="preserve">Annual UNDP project reports </w:t>
            </w:r>
          </w:p>
          <w:p w14:paraId="027DE92C" w14:textId="77777777" w:rsidR="00704EB3" w:rsidRPr="003F2C03" w:rsidRDefault="00704EB3" w:rsidP="002C2321">
            <w:pPr>
              <w:autoSpaceDE w:val="0"/>
              <w:autoSpaceDN w:val="0"/>
              <w:adjustRightInd w:val="0"/>
              <w:rPr>
                <w:iCs/>
                <w:color w:val="000000" w:themeColor="text1"/>
                <w:sz w:val="16"/>
                <w:szCs w:val="16"/>
              </w:rPr>
            </w:pPr>
          </w:p>
          <w:p w14:paraId="3366F58E" w14:textId="5D6A88DD" w:rsidR="00704EB3" w:rsidRPr="003F2C03" w:rsidRDefault="00704EB3" w:rsidP="002C2321">
            <w:pPr>
              <w:rPr>
                <w:iCs/>
                <w:color w:val="000000"/>
                <w:sz w:val="16"/>
                <w:szCs w:val="16"/>
                <w:lang w:val="en-GB"/>
              </w:rPr>
            </w:pPr>
            <w:r w:rsidRPr="003F2C03">
              <w:rPr>
                <w:b/>
                <w:iCs/>
                <w:color w:val="000000"/>
                <w:sz w:val="16"/>
                <w:szCs w:val="16"/>
                <w:lang w:val="en-GB"/>
              </w:rPr>
              <w:t>Indicator 4.2.2</w:t>
            </w:r>
            <w:r w:rsidRPr="003F2C03">
              <w:rPr>
                <w:iCs/>
                <w:color w:val="000000"/>
                <w:sz w:val="16"/>
                <w:szCs w:val="16"/>
                <w:lang w:val="en-GB"/>
              </w:rPr>
              <w:t xml:space="preserve">: </w:t>
            </w:r>
            <w:r w:rsidR="000168CB">
              <w:rPr>
                <w:iCs/>
                <w:color w:val="000000"/>
                <w:sz w:val="16"/>
                <w:szCs w:val="16"/>
                <w:lang w:val="en-GB"/>
              </w:rPr>
              <w:t>Per cent</w:t>
            </w:r>
            <w:r w:rsidRPr="003F2C03">
              <w:rPr>
                <w:iCs/>
                <w:color w:val="000000"/>
                <w:sz w:val="16"/>
                <w:szCs w:val="16"/>
                <w:lang w:val="en-GB"/>
              </w:rPr>
              <w:t xml:space="preserve"> of new green jobs in total new employment created with UNDP support, disaggregated by sex and region</w:t>
            </w:r>
          </w:p>
          <w:p w14:paraId="0FE727C0" w14:textId="5B116152" w:rsidR="00704EB3" w:rsidRPr="003F2C03" w:rsidRDefault="00704EB3" w:rsidP="002C2321">
            <w:pPr>
              <w:rPr>
                <w:iCs/>
                <w:color w:val="000000"/>
                <w:sz w:val="16"/>
                <w:szCs w:val="16"/>
                <w:lang w:val="en-GB"/>
              </w:rPr>
            </w:pPr>
            <w:r w:rsidRPr="003F2C03">
              <w:rPr>
                <w:b/>
                <w:iCs/>
                <w:color w:val="000000"/>
                <w:sz w:val="16"/>
                <w:szCs w:val="16"/>
                <w:lang w:val="en-GB"/>
              </w:rPr>
              <w:t xml:space="preserve">Baseline </w:t>
            </w:r>
            <w:r w:rsidRPr="00AA7688">
              <w:rPr>
                <w:b/>
                <w:iCs/>
                <w:color w:val="000000"/>
                <w:sz w:val="16"/>
                <w:szCs w:val="16"/>
                <w:lang w:val="en-GB"/>
              </w:rPr>
              <w:t>(2015)</w:t>
            </w:r>
            <w:r w:rsidR="000168CB" w:rsidRPr="00AA7688">
              <w:rPr>
                <w:b/>
                <w:iCs/>
                <w:color w:val="000000"/>
                <w:sz w:val="16"/>
                <w:szCs w:val="16"/>
                <w:lang w:val="en-GB"/>
              </w:rPr>
              <w:t>:</w:t>
            </w:r>
            <w:r w:rsidRPr="003F2C03">
              <w:rPr>
                <w:iCs/>
                <w:color w:val="000000"/>
                <w:sz w:val="16"/>
                <w:szCs w:val="16"/>
                <w:lang w:val="en-GB"/>
              </w:rPr>
              <w:t xml:space="preserve"> 0%</w:t>
            </w:r>
          </w:p>
          <w:p w14:paraId="1F42B15C" w14:textId="0880A34E" w:rsidR="00704EB3" w:rsidRPr="003F2C03" w:rsidRDefault="00704EB3" w:rsidP="002C2321">
            <w:pPr>
              <w:tabs>
                <w:tab w:val="right" w:pos="1750"/>
              </w:tabs>
              <w:rPr>
                <w:iCs/>
                <w:color w:val="000000"/>
                <w:sz w:val="16"/>
                <w:szCs w:val="16"/>
                <w:lang w:val="en-GB"/>
              </w:rPr>
            </w:pPr>
            <w:r w:rsidRPr="003F2C03">
              <w:rPr>
                <w:b/>
                <w:iCs/>
                <w:color w:val="000000"/>
                <w:sz w:val="16"/>
                <w:szCs w:val="16"/>
                <w:lang w:val="en-GB"/>
              </w:rPr>
              <w:t>Target</w:t>
            </w:r>
            <w:r w:rsidRPr="003F2C03">
              <w:rPr>
                <w:iCs/>
                <w:color w:val="000000"/>
                <w:sz w:val="16"/>
                <w:szCs w:val="16"/>
                <w:lang w:val="en-GB"/>
              </w:rPr>
              <w:t xml:space="preserve"> </w:t>
            </w:r>
            <w:r w:rsidRPr="00AA7688">
              <w:rPr>
                <w:b/>
                <w:iCs/>
                <w:color w:val="000000"/>
                <w:sz w:val="16"/>
                <w:szCs w:val="16"/>
                <w:lang w:val="en-GB"/>
              </w:rPr>
              <w:t>(2021)</w:t>
            </w:r>
            <w:r w:rsidR="000168CB" w:rsidRPr="00AA7688">
              <w:rPr>
                <w:b/>
                <w:iCs/>
                <w:color w:val="000000"/>
                <w:sz w:val="16"/>
                <w:szCs w:val="16"/>
                <w:lang w:val="en-GB"/>
              </w:rPr>
              <w:t>:</w:t>
            </w:r>
            <w:r w:rsidRPr="003F2C03">
              <w:rPr>
                <w:iCs/>
                <w:color w:val="000000"/>
                <w:sz w:val="16"/>
                <w:szCs w:val="16"/>
                <w:lang w:val="en-GB"/>
              </w:rPr>
              <w:t xml:space="preserve"> 30% </w:t>
            </w:r>
          </w:p>
          <w:p w14:paraId="6005E3FD" w14:textId="44CF7B3A" w:rsidR="00704EB3" w:rsidRPr="003F2C03" w:rsidRDefault="00704EB3" w:rsidP="002C2321">
            <w:pPr>
              <w:tabs>
                <w:tab w:val="right" w:pos="1750"/>
              </w:tabs>
              <w:rPr>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Employment </w:t>
            </w:r>
            <w:r w:rsidR="00DC371C">
              <w:rPr>
                <w:iCs/>
                <w:color w:val="000000"/>
                <w:sz w:val="16"/>
                <w:szCs w:val="16"/>
                <w:lang w:val="en-GB"/>
              </w:rPr>
              <w:t>a</w:t>
            </w:r>
            <w:r w:rsidRPr="003F2C03">
              <w:rPr>
                <w:iCs/>
                <w:color w:val="000000"/>
                <w:sz w:val="16"/>
                <w:szCs w:val="16"/>
                <w:lang w:val="en-GB"/>
              </w:rPr>
              <w:t>gencies’ reports</w:t>
            </w:r>
          </w:p>
          <w:p w14:paraId="5D084A8F" w14:textId="77777777" w:rsidR="00704EB3" w:rsidRPr="003F2C03" w:rsidRDefault="00704EB3" w:rsidP="002C2321">
            <w:pPr>
              <w:rPr>
                <w:b/>
                <w:iCs/>
                <w:color w:val="000000"/>
                <w:sz w:val="16"/>
                <w:szCs w:val="16"/>
                <w:lang w:val="en-GB"/>
              </w:rPr>
            </w:pPr>
          </w:p>
          <w:p w14:paraId="22212E23" w14:textId="66B7443F" w:rsidR="00704EB3" w:rsidRPr="003F2C03" w:rsidRDefault="00704EB3" w:rsidP="002C2321">
            <w:pPr>
              <w:rPr>
                <w:iCs/>
                <w:color w:val="000000"/>
                <w:sz w:val="16"/>
                <w:szCs w:val="16"/>
                <w:lang w:val="en-GB"/>
              </w:rPr>
            </w:pPr>
            <w:r w:rsidRPr="003F2C03">
              <w:rPr>
                <w:b/>
                <w:iCs/>
                <w:color w:val="000000"/>
                <w:sz w:val="16"/>
                <w:szCs w:val="16"/>
                <w:lang w:val="en-GB"/>
              </w:rPr>
              <w:t>Indicator 4.2.3:</w:t>
            </w:r>
            <w:r w:rsidRPr="003F2C03">
              <w:rPr>
                <w:iCs/>
                <w:color w:val="000000"/>
                <w:sz w:val="16"/>
                <w:szCs w:val="16"/>
                <w:lang w:val="en-GB"/>
              </w:rPr>
              <w:t xml:space="preserve"> Number of </w:t>
            </w:r>
            <w:r w:rsidRPr="00AA7688">
              <w:rPr>
                <w:iCs/>
                <w:color w:val="000000"/>
                <w:sz w:val="16"/>
                <w:szCs w:val="16"/>
                <w:lang w:val="en-GB"/>
              </w:rPr>
              <w:t>men and women</w:t>
            </w:r>
            <w:r w:rsidRPr="00E445CA">
              <w:rPr>
                <w:iCs/>
                <w:color w:val="000000"/>
                <w:sz w:val="16"/>
                <w:szCs w:val="16"/>
                <w:lang w:val="en-GB"/>
              </w:rPr>
              <w:t xml:space="preserve"> </w:t>
            </w:r>
            <w:r w:rsidRPr="00AA7688">
              <w:rPr>
                <w:iCs/>
                <w:color w:val="000000"/>
                <w:sz w:val="16"/>
                <w:szCs w:val="16"/>
                <w:lang w:val="en-GB"/>
              </w:rPr>
              <w:t>(disaggregated by age) who</w:t>
            </w:r>
            <w:r w:rsidRPr="003F2C03">
              <w:rPr>
                <w:iCs/>
                <w:color w:val="000000"/>
                <w:sz w:val="16"/>
                <w:szCs w:val="16"/>
                <w:lang w:val="en-GB"/>
              </w:rPr>
              <w:t xml:space="preserve"> benefit from UNDP skills training. </w:t>
            </w:r>
          </w:p>
          <w:p w14:paraId="6DF3B48D" w14:textId="55239595" w:rsidR="00704EB3" w:rsidRPr="003F2C03" w:rsidRDefault="00704EB3" w:rsidP="002C2321">
            <w:pPr>
              <w:rPr>
                <w:iCs/>
                <w:color w:val="000000"/>
                <w:sz w:val="16"/>
                <w:szCs w:val="16"/>
                <w:lang w:val="en-GB"/>
              </w:rPr>
            </w:pPr>
            <w:r w:rsidRPr="003F2C03">
              <w:rPr>
                <w:b/>
                <w:iCs/>
                <w:color w:val="000000"/>
                <w:sz w:val="16"/>
                <w:szCs w:val="16"/>
                <w:lang w:val="en-GB"/>
              </w:rPr>
              <w:t>Baseline</w:t>
            </w:r>
            <w:r w:rsidRPr="003F2C03">
              <w:rPr>
                <w:iCs/>
                <w:color w:val="000000"/>
                <w:sz w:val="16"/>
                <w:szCs w:val="16"/>
                <w:lang w:val="en-GB"/>
              </w:rPr>
              <w:t xml:space="preserve"> </w:t>
            </w:r>
            <w:r w:rsidRPr="00AA7688">
              <w:rPr>
                <w:b/>
                <w:iCs/>
                <w:color w:val="000000"/>
                <w:sz w:val="16"/>
                <w:szCs w:val="16"/>
                <w:lang w:val="en-GB"/>
              </w:rPr>
              <w:t>(2015)</w:t>
            </w:r>
            <w:r w:rsidR="00E445CA" w:rsidRPr="00AA7688">
              <w:rPr>
                <w:b/>
                <w:iCs/>
                <w:color w:val="000000"/>
                <w:sz w:val="16"/>
                <w:szCs w:val="16"/>
                <w:lang w:val="en-GB"/>
              </w:rPr>
              <w:t>:</w:t>
            </w:r>
            <w:r w:rsidRPr="003F2C03">
              <w:rPr>
                <w:iCs/>
                <w:color w:val="000000"/>
                <w:sz w:val="16"/>
                <w:szCs w:val="16"/>
                <w:lang w:val="en-GB"/>
              </w:rPr>
              <w:t xml:space="preserve"> 0 </w:t>
            </w:r>
          </w:p>
          <w:p w14:paraId="39627C22" w14:textId="1FC21F79" w:rsidR="00704EB3" w:rsidRPr="003F2C03" w:rsidRDefault="00704EB3" w:rsidP="002C2321">
            <w:pPr>
              <w:rPr>
                <w:iCs/>
                <w:color w:val="000000"/>
                <w:sz w:val="16"/>
                <w:szCs w:val="16"/>
                <w:lang w:val="en-GB"/>
              </w:rPr>
            </w:pPr>
            <w:r w:rsidRPr="00E445CA">
              <w:rPr>
                <w:b/>
                <w:iCs/>
                <w:color w:val="000000"/>
                <w:sz w:val="16"/>
                <w:szCs w:val="16"/>
                <w:lang w:val="en-GB"/>
              </w:rPr>
              <w:t xml:space="preserve">Target </w:t>
            </w:r>
            <w:r w:rsidRPr="00AA7688">
              <w:rPr>
                <w:b/>
                <w:iCs/>
                <w:color w:val="000000"/>
                <w:sz w:val="16"/>
                <w:szCs w:val="16"/>
                <w:lang w:val="en-GB"/>
              </w:rPr>
              <w:t>(2021)</w:t>
            </w:r>
            <w:r w:rsidR="00E445CA" w:rsidRPr="00AA7688">
              <w:rPr>
                <w:b/>
                <w:iCs/>
                <w:color w:val="000000"/>
                <w:sz w:val="16"/>
                <w:szCs w:val="16"/>
                <w:lang w:val="en-GB"/>
              </w:rPr>
              <w:t>:</w:t>
            </w:r>
            <w:r w:rsidRPr="003F2C03">
              <w:rPr>
                <w:iCs/>
                <w:color w:val="000000"/>
                <w:sz w:val="16"/>
                <w:szCs w:val="16"/>
                <w:lang w:val="en-GB"/>
              </w:rPr>
              <w:t xml:space="preserve"> </w:t>
            </w:r>
            <w:r w:rsidR="00E445CA">
              <w:rPr>
                <w:iCs/>
                <w:color w:val="000000"/>
                <w:sz w:val="16"/>
                <w:szCs w:val="16"/>
                <w:lang w:val="en-GB"/>
              </w:rPr>
              <w:t>To be determined</w:t>
            </w:r>
          </w:p>
          <w:p w14:paraId="12410862" w14:textId="6B2DA121" w:rsidR="00704EB3" w:rsidRPr="003F2C03" w:rsidRDefault="00704EB3" w:rsidP="002C2321">
            <w:pPr>
              <w:autoSpaceDE w:val="0"/>
              <w:autoSpaceDN w:val="0"/>
              <w:adjustRightInd w:val="0"/>
              <w:rPr>
                <w:iCs/>
                <w:color w:val="000000"/>
                <w:sz w:val="16"/>
                <w:szCs w:val="16"/>
                <w:lang w:val="en-GB"/>
              </w:rPr>
            </w:pPr>
            <w:r w:rsidRPr="003F2C03">
              <w:rPr>
                <w:b/>
                <w:iCs/>
                <w:color w:val="000000"/>
                <w:sz w:val="16"/>
                <w:szCs w:val="16"/>
                <w:lang w:val="en-GB"/>
              </w:rPr>
              <w:t>Means of verification</w:t>
            </w:r>
            <w:r w:rsidRPr="003F2C03">
              <w:rPr>
                <w:iCs/>
                <w:color w:val="000000"/>
                <w:sz w:val="16"/>
                <w:szCs w:val="16"/>
                <w:lang w:val="en-GB"/>
              </w:rPr>
              <w:t xml:space="preserve">: Employment </w:t>
            </w:r>
            <w:r w:rsidR="00901E89">
              <w:rPr>
                <w:iCs/>
                <w:color w:val="000000"/>
                <w:sz w:val="16"/>
                <w:szCs w:val="16"/>
                <w:lang w:val="en-GB"/>
              </w:rPr>
              <w:t>a</w:t>
            </w:r>
            <w:r w:rsidRPr="003F2C03">
              <w:rPr>
                <w:iCs/>
                <w:color w:val="000000"/>
                <w:sz w:val="16"/>
                <w:szCs w:val="16"/>
                <w:lang w:val="en-GB"/>
              </w:rPr>
              <w:t>genc</w:t>
            </w:r>
            <w:r w:rsidR="00DC371C">
              <w:rPr>
                <w:iCs/>
                <w:color w:val="000000"/>
                <w:sz w:val="16"/>
                <w:szCs w:val="16"/>
                <w:lang w:val="en-GB"/>
              </w:rPr>
              <w:t>ies’</w:t>
            </w:r>
            <w:r w:rsidRPr="003F2C03">
              <w:rPr>
                <w:iCs/>
                <w:color w:val="000000"/>
                <w:sz w:val="16"/>
                <w:szCs w:val="16"/>
                <w:lang w:val="en-GB"/>
              </w:rPr>
              <w:t xml:space="preserve"> reports</w:t>
            </w:r>
          </w:p>
          <w:p w14:paraId="63EB5DE2" w14:textId="77777777" w:rsidR="00704EB3" w:rsidRPr="003F2C03" w:rsidRDefault="00704EB3" w:rsidP="002C2321">
            <w:pPr>
              <w:autoSpaceDE w:val="0"/>
              <w:autoSpaceDN w:val="0"/>
              <w:adjustRightInd w:val="0"/>
              <w:rPr>
                <w:iCs/>
                <w:color w:val="000000" w:themeColor="text1"/>
                <w:sz w:val="16"/>
                <w:szCs w:val="16"/>
              </w:rPr>
            </w:pPr>
          </w:p>
          <w:p w14:paraId="577D8F7A" w14:textId="272031A2" w:rsidR="00704EB3" w:rsidRPr="003F2C03" w:rsidRDefault="00704EB3" w:rsidP="002C2321">
            <w:pPr>
              <w:autoSpaceDE w:val="0"/>
              <w:autoSpaceDN w:val="0"/>
              <w:adjustRightInd w:val="0"/>
              <w:rPr>
                <w:bCs/>
                <w:color w:val="000000"/>
                <w:sz w:val="16"/>
                <w:szCs w:val="16"/>
                <w:lang w:val="en-GB" w:eastAsia="en-GB"/>
              </w:rPr>
            </w:pPr>
            <w:r w:rsidRPr="003F2C03">
              <w:rPr>
                <w:b/>
                <w:color w:val="000000"/>
                <w:sz w:val="16"/>
                <w:szCs w:val="16"/>
                <w:lang w:eastAsia="en-GB"/>
              </w:rPr>
              <w:t>Output 4.3</w:t>
            </w:r>
            <w:r w:rsidR="00E445CA">
              <w:rPr>
                <w:b/>
                <w:color w:val="000000"/>
                <w:sz w:val="16"/>
                <w:szCs w:val="16"/>
                <w:lang w:eastAsia="en-GB"/>
              </w:rPr>
              <w:t>:</w:t>
            </w:r>
            <w:r w:rsidRPr="003F2C03">
              <w:rPr>
                <w:color w:val="000000"/>
                <w:sz w:val="16"/>
                <w:szCs w:val="16"/>
                <w:lang w:eastAsia="en-GB"/>
              </w:rPr>
              <w:t xml:space="preserve"> Accessibility of public services improved through launch of new e-services for businesses. </w:t>
            </w:r>
          </w:p>
          <w:p w14:paraId="06F61623" w14:textId="77777777" w:rsidR="00704EB3" w:rsidRPr="003F2C03" w:rsidRDefault="00704EB3" w:rsidP="002C2321">
            <w:pPr>
              <w:autoSpaceDE w:val="0"/>
              <w:autoSpaceDN w:val="0"/>
              <w:adjustRightInd w:val="0"/>
              <w:rPr>
                <w:bCs/>
                <w:color w:val="000000"/>
                <w:sz w:val="16"/>
                <w:szCs w:val="16"/>
                <w:lang w:val="en-GB" w:eastAsia="en-GB"/>
              </w:rPr>
            </w:pPr>
            <w:r w:rsidRPr="003F2C03">
              <w:rPr>
                <w:b/>
                <w:bCs/>
                <w:color w:val="000000"/>
                <w:sz w:val="16"/>
                <w:szCs w:val="16"/>
                <w:lang w:val="en-GB" w:eastAsia="en-GB"/>
              </w:rPr>
              <w:t>Indicator 4.3.1:</w:t>
            </w:r>
            <w:r w:rsidRPr="003F2C03">
              <w:rPr>
                <w:bCs/>
                <w:color w:val="000000"/>
                <w:sz w:val="16"/>
                <w:szCs w:val="16"/>
                <w:lang w:val="en-GB" w:eastAsia="en-GB"/>
              </w:rPr>
              <w:t xml:space="preserve"> Number of new e-services for businesses </w:t>
            </w:r>
          </w:p>
          <w:p w14:paraId="29BBF5E3" w14:textId="56267D5E" w:rsidR="00704EB3" w:rsidRPr="003F2C03" w:rsidRDefault="00704EB3" w:rsidP="002C2321">
            <w:pPr>
              <w:autoSpaceDE w:val="0"/>
              <w:autoSpaceDN w:val="0"/>
              <w:adjustRightInd w:val="0"/>
              <w:rPr>
                <w:bCs/>
                <w:color w:val="000000"/>
                <w:sz w:val="16"/>
                <w:szCs w:val="16"/>
                <w:lang w:val="en-GB" w:eastAsia="en-GB"/>
              </w:rPr>
            </w:pPr>
            <w:r w:rsidRPr="003F2C03">
              <w:rPr>
                <w:b/>
                <w:bCs/>
                <w:color w:val="000000"/>
                <w:sz w:val="16"/>
                <w:szCs w:val="16"/>
                <w:lang w:val="en-GB" w:eastAsia="en-GB"/>
              </w:rPr>
              <w:t>Baseline</w:t>
            </w:r>
            <w:r w:rsidRPr="003F2C03">
              <w:rPr>
                <w:bCs/>
                <w:color w:val="000000"/>
                <w:sz w:val="16"/>
                <w:szCs w:val="16"/>
                <w:lang w:val="en-GB" w:eastAsia="en-GB"/>
              </w:rPr>
              <w:t xml:space="preserve"> </w:t>
            </w:r>
            <w:r w:rsidRPr="00AA7688">
              <w:rPr>
                <w:b/>
                <w:bCs/>
                <w:color w:val="000000"/>
                <w:sz w:val="16"/>
                <w:szCs w:val="16"/>
                <w:lang w:val="en-GB" w:eastAsia="en-GB"/>
              </w:rPr>
              <w:t>(</w:t>
            </w:r>
            <w:r w:rsidR="008975F3" w:rsidRPr="00AA7688">
              <w:rPr>
                <w:b/>
                <w:bCs/>
                <w:color w:val="000000"/>
                <w:sz w:val="16"/>
                <w:szCs w:val="16"/>
                <w:lang w:val="en-GB" w:eastAsia="en-GB"/>
              </w:rPr>
              <w:t>2015</w:t>
            </w:r>
            <w:r w:rsidRPr="00AA7688">
              <w:rPr>
                <w:b/>
                <w:bCs/>
                <w:color w:val="000000"/>
                <w:sz w:val="16"/>
                <w:szCs w:val="16"/>
                <w:lang w:val="en-GB" w:eastAsia="en-GB"/>
              </w:rPr>
              <w:t>)</w:t>
            </w:r>
            <w:r w:rsidR="00E445CA" w:rsidRPr="00AA7688">
              <w:rPr>
                <w:b/>
                <w:bCs/>
                <w:color w:val="000000"/>
                <w:sz w:val="16"/>
                <w:szCs w:val="16"/>
                <w:lang w:val="en-GB" w:eastAsia="en-GB"/>
              </w:rPr>
              <w:t>:</w:t>
            </w:r>
            <w:r w:rsidRPr="00AA7688">
              <w:rPr>
                <w:b/>
                <w:bCs/>
                <w:color w:val="000000"/>
                <w:sz w:val="16"/>
                <w:szCs w:val="16"/>
                <w:lang w:val="en-GB" w:eastAsia="en-GB"/>
              </w:rPr>
              <w:t xml:space="preserve"> </w:t>
            </w:r>
            <w:r w:rsidR="008975F3" w:rsidRPr="003F2C03">
              <w:rPr>
                <w:bCs/>
                <w:color w:val="000000"/>
                <w:sz w:val="16"/>
                <w:szCs w:val="16"/>
                <w:lang w:val="en-GB" w:eastAsia="en-GB"/>
              </w:rPr>
              <w:t xml:space="preserve">44 </w:t>
            </w:r>
          </w:p>
          <w:p w14:paraId="2AD4CFA5" w14:textId="508B6DFE" w:rsidR="00704EB3" w:rsidRPr="003F2C03" w:rsidRDefault="00704EB3" w:rsidP="002C2321">
            <w:pPr>
              <w:autoSpaceDE w:val="0"/>
              <w:autoSpaceDN w:val="0"/>
              <w:adjustRightInd w:val="0"/>
              <w:rPr>
                <w:bCs/>
                <w:color w:val="000000"/>
                <w:sz w:val="16"/>
                <w:szCs w:val="16"/>
                <w:lang w:val="en-GB" w:eastAsia="en-GB"/>
              </w:rPr>
            </w:pPr>
            <w:r w:rsidRPr="003F2C03">
              <w:rPr>
                <w:b/>
                <w:bCs/>
                <w:color w:val="000000"/>
                <w:sz w:val="16"/>
                <w:szCs w:val="16"/>
                <w:lang w:val="en-GB" w:eastAsia="en-GB"/>
              </w:rPr>
              <w:t>Target</w:t>
            </w:r>
            <w:r w:rsidRPr="003F2C03">
              <w:rPr>
                <w:bCs/>
                <w:color w:val="000000"/>
                <w:sz w:val="16"/>
                <w:szCs w:val="16"/>
                <w:lang w:val="en-GB" w:eastAsia="en-GB"/>
              </w:rPr>
              <w:t xml:space="preserve"> </w:t>
            </w:r>
            <w:r w:rsidRPr="00AA7688">
              <w:rPr>
                <w:b/>
                <w:bCs/>
                <w:color w:val="000000"/>
                <w:sz w:val="16"/>
                <w:szCs w:val="16"/>
                <w:lang w:val="en-GB" w:eastAsia="en-GB"/>
              </w:rPr>
              <w:t>(2021)</w:t>
            </w:r>
            <w:r w:rsidR="00E445CA" w:rsidRPr="00AA7688">
              <w:rPr>
                <w:b/>
                <w:bCs/>
                <w:color w:val="000000"/>
                <w:sz w:val="16"/>
                <w:szCs w:val="16"/>
                <w:lang w:val="en-GB" w:eastAsia="en-GB"/>
              </w:rPr>
              <w:t>:</w:t>
            </w:r>
            <w:r w:rsidRPr="003F2C03">
              <w:rPr>
                <w:bCs/>
                <w:color w:val="000000"/>
                <w:sz w:val="16"/>
                <w:szCs w:val="16"/>
                <w:lang w:val="en-GB" w:eastAsia="en-GB"/>
              </w:rPr>
              <w:t xml:space="preserve"> 10 </w:t>
            </w:r>
            <w:r w:rsidR="008975F3" w:rsidRPr="003F2C03">
              <w:rPr>
                <w:bCs/>
                <w:color w:val="000000"/>
                <w:sz w:val="16"/>
                <w:szCs w:val="16"/>
                <w:lang w:val="en-GB" w:eastAsia="en-GB"/>
              </w:rPr>
              <w:t>additional</w:t>
            </w:r>
          </w:p>
          <w:p w14:paraId="412EC00A" w14:textId="4A49F349" w:rsidR="00704EB3" w:rsidRPr="003F2C03" w:rsidRDefault="00704EB3" w:rsidP="002C2321">
            <w:pPr>
              <w:autoSpaceDE w:val="0"/>
              <w:autoSpaceDN w:val="0"/>
              <w:adjustRightInd w:val="0"/>
              <w:rPr>
                <w:bCs/>
                <w:color w:val="000000"/>
                <w:sz w:val="16"/>
                <w:szCs w:val="16"/>
                <w:lang w:val="en-GB" w:eastAsia="en-GB"/>
              </w:rPr>
            </w:pPr>
            <w:r w:rsidRPr="003F2C03">
              <w:rPr>
                <w:b/>
                <w:bCs/>
                <w:color w:val="000000"/>
                <w:sz w:val="16"/>
                <w:szCs w:val="16"/>
                <w:lang w:val="en-GB" w:eastAsia="en-GB"/>
              </w:rPr>
              <w:t>Means of verification</w:t>
            </w:r>
            <w:r w:rsidRPr="003F2C03">
              <w:rPr>
                <w:bCs/>
                <w:color w:val="000000"/>
                <w:sz w:val="16"/>
                <w:szCs w:val="16"/>
                <w:lang w:val="en-GB" w:eastAsia="en-GB"/>
              </w:rPr>
              <w:t xml:space="preserve">: </w:t>
            </w:r>
            <w:r w:rsidR="00630BE8" w:rsidRPr="003F2C03">
              <w:rPr>
                <w:bCs/>
                <w:color w:val="000000"/>
                <w:sz w:val="16"/>
                <w:szCs w:val="16"/>
                <w:lang w:val="en-GB" w:eastAsia="en-GB"/>
              </w:rPr>
              <w:t xml:space="preserve">Annual Ministry of </w:t>
            </w:r>
            <w:r w:rsidR="00747427" w:rsidRPr="003F2C03">
              <w:rPr>
                <w:bCs/>
                <w:color w:val="000000"/>
                <w:sz w:val="16"/>
                <w:szCs w:val="16"/>
                <w:lang w:val="en-GB" w:eastAsia="en-GB"/>
              </w:rPr>
              <w:t>I</w:t>
            </w:r>
            <w:r w:rsidR="00630BE8" w:rsidRPr="003F2C03">
              <w:rPr>
                <w:bCs/>
                <w:color w:val="000000"/>
                <w:sz w:val="16"/>
                <w:szCs w:val="16"/>
                <w:lang w:val="en-GB" w:eastAsia="en-GB"/>
              </w:rPr>
              <w:t xml:space="preserve">nformation </w:t>
            </w:r>
            <w:r w:rsidR="00747427" w:rsidRPr="003F2C03">
              <w:rPr>
                <w:bCs/>
                <w:color w:val="000000"/>
                <w:sz w:val="16"/>
                <w:szCs w:val="16"/>
                <w:lang w:val="en-GB" w:eastAsia="en-GB"/>
              </w:rPr>
              <w:t>S</w:t>
            </w:r>
            <w:r w:rsidR="00630BE8" w:rsidRPr="003F2C03">
              <w:rPr>
                <w:bCs/>
                <w:color w:val="000000"/>
                <w:sz w:val="16"/>
                <w:szCs w:val="16"/>
                <w:lang w:val="en-GB" w:eastAsia="en-GB"/>
              </w:rPr>
              <w:t>ociety report</w:t>
            </w:r>
            <w:r w:rsidRPr="003F2C03">
              <w:rPr>
                <w:bCs/>
                <w:color w:val="000000"/>
                <w:sz w:val="16"/>
                <w:szCs w:val="16"/>
                <w:lang w:val="en-GB" w:eastAsia="en-GB"/>
              </w:rPr>
              <w:t xml:space="preserve"> </w:t>
            </w:r>
          </w:p>
          <w:p w14:paraId="398A03F8" w14:textId="77777777" w:rsidR="00704EB3" w:rsidRPr="003F2C03" w:rsidRDefault="00704EB3" w:rsidP="002C2321">
            <w:pPr>
              <w:autoSpaceDE w:val="0"/>
              <w:autoSpaceDN w:val="0"/>
              <w:adjustRightInd w:val="0"/>
              <w:ind w:left="360"/>
              <w:rPr>
                <w:bCs/>
                <w:color w:val="000000"/>
                <w:sz w:val="16"/>
                <w:szCs w:val="16"/>
                <w:lang w:val="en-GB" w:eastAsia="en-GB"/>
              </w:rPr>
            </w:pPr>
          </w:p>
          <w:p w14:paraId="7EC70DBE" w14:textId="2BC5A701" w:rsidR="00704EB3" w:rsidRPr="003F2C03" w:rsidRDefault="00704EB3" w:rsidP="002C2321">
            <w:pPr>
              <w:autoSpaceDE w:val="0"/>
              <w:autoSpaceDN w:val="0"/>
              <w:adjustRightInd w:val="0"/>
              <w:rPr>
                <w:bCs/>
                <w:color w:val="000000"/>
                <w:sz w:val="16"/>
                <w:szCs w:val="16"/>
                <w:lang w:val="en-GB" w:eastAsia="en-GB"/>
              </w:rPr>
            </w:pPr>
            <w:r w:rsidRPr="003F2C03">
              <w:rPr>
                <w:b/>
                <w:color w:val="000000"/>
                <w:sz w:val="16"/>
                <w:szCs w:val="16"/>
                <w:lang w:eastAsia="en-GB"/>
              </w:rPr>
              <w:t>Output 4.4</w:t>
            </w:r>
            <w:r w:rsidR="00E445CA">
              <w:rPr>
                <w:b/>
                <w:color w:val="000000"/>
                <w:sz w:val="16"/>
                <w:szCs w:val="16"/>
                <w:lang w:eastAsia="en-GB"/>
              </w:rPr>
              <w:t>:</w:t>
            </w:r>
            <w:r w:rsidRPr="003F2C03">
              <w:rPr>
                <w:color w:val="000000"/>
                <w:sz w:val="16"/>
                <w:szCs w:val="16"/>
                <w:lang w:eastAsia="en-GB"/>
              </w:rPr>
              <w:t xml:space="preserve"> Improved </w:t>
            </w:r>
            <w:r w:rsidR="00710143" w:rsidRPr="003F2C03">
              <w:rPr>
                <w:color w:val="000000"/>
                <w:sz w:val="16"/>
                <w:szCs w:val="16"/>
                <w:lang w:eastAsia="en-GB"/>
              </w:rPr>
              <w:t>implementation</w:t>
            </w:r>
            <w:r w:rsidR="000168CB">
              <w:rPr>
                <w:color w:val="000000"/>
                <w:sz w:val="16"/>
                <w:szCs w:val="16"/>
                <w:lang w:eastAsia="en-GB"/>
              </w:rPr>
              <w:t xml:space="preserve"> of policies</w:t>
            </w:r>
            <w:r w:rsidR="00710143" w:rsidRPr="003F2C03">
              <w:rPr>
                <w:color w:val="000000"/>
                <w:sz w:val="16"/>
                <w:szCs w:val="16"/>
                <w:lang w:eastAsia="en-GB"/>
              </w:rPr>
              <w:t xml:space="preserve"> </w:t>
            </w:r>
            <w:r w:rsidRPr="003F2C03">
              <w:rPr>
                <w:color w:val="000000"/>
                <w:sz w:val="16"/>
                <w:szCs w:val="16"/>
                <w:lang w:eastAsia="en-GB"/>
              </w:rPr>
              <w:t>for promoting wom</w:t>
            </w:r>
            <w:r w:rsidR="000168CB">
              <w:rPr>
                <w:color w:val="000000"/>
                <w:sz w:val="16"/>
                <w:szCs w:val="16"/>
                <w:lang w:eastAsia="en-GB"/>
              </w:rPr>
              <w:t>e</w:t>
            </w:r>
            <w:r w:rsidRPr="003F2C03">
              <w:rPr>
                <w:color w:val="000000"/>
                <w:sz w:val="16"/>
                <w:szCs w:val="16"/>
                <w:lang w:eastAsia="en-GB"/>
              </w:rPr>
              <w:t>n</w:t>
            </w:r>
            <w:r w:rsidR="000168CB">
              <w:rPr>
                <w:color w:val="000000"/>
                <w:sz w:val="16"/>
                <w:szCs w:val="16"/>
                <w:lang w:eastAsia="en-GB"/>
              </w:rPr>
              <w:t>’s</w:t>
            </w:r>
            <w:r w:rsidRPr="003F2C03">
              <w:rPr>
                <w:color w:val="000000"/>
                <w:sz w:val="16"/>
                <w:szCs w:val="16"/>
                <w:lang w:eastAsia="en-GB"/>
              </w:rPr>
              <w:t xml:space="preserve"> economic empowerment </w:t>
            </w:r>
          </w:p>
          <w:p w14:paraId="35672B42" w14:textId="564856D5" w:rsidR="00704EB3" w:rsidRPr="003F2C03" w:rsidRDefault="00704EB3" w:rsidP="002C2321">
            <w:pPr>
              <w:tabs>
                <w:tab w:val="left" w:pos="1742"/>
              </w:tabs>
              <w:rPr>
                <w:color w:val="000000" w:themeColor="text1"/>
                <w:sz w:val="16"/>
                <w:szCs w:val="16"/>
              </w:rPr>
            </w:pPr>
            <w:r w:rsidRPr="003F2C03">
              <w:rPr>
                <w:b/>
                <w:color w:val="000000" w:themeColor="text1"/>
                <w:sz w:val="16"/>
                <w:szCs w:val="16"/>
              </w:rPr>
              <w:t>Indicator 4.4.1</w:t>
            </w:r>
            <w:r w:rsidRPr="003F2C03">
              <w:rPr>
                <w:color w:val="000000" w:themeColor="text1"/>
                <w:sz w:val="16"/>
                <w:szCs w:val="16"/>
              </w:rPr>
              <w:t xml:space="preserve">: </w:t>
            </w:r>
            <w:r w:rsidR="00AA0543">
              <w:rPr>
                <w:color w:val="000000" w:themeColor="text1"/>
                <w:sz w:val="16"/>
                <w:szCs w:val="16"/>
              </w:rPr>
              <w:t>Per cent</w:t>
            </w:r>
            <w:r w:rsidRPr="003F2C03">
              <w:rPr>
                <w:color w:val="000000" w:themeColor="text1"/>
                <w:sz w:val="16"/>
                <w:szCs w:val="16"/>
              </w:rPr>
              <w:t xml:space="preserve"> of measures of Strategy for </w:t>
            </w:r>
            <w:r w:rsidR="00CF476E">
              <w:rPr>
                <w:color w:val="000000" w:themeColor="text1"/>
                <w:sz w:val="16"/>
                <w:szCs w:val="16"/>
              </w:rPr>
              <w:t>W</w:t>
            </w:r>
            <w:r w:rsidRPr="003F2C03">
              <w:rPr>
                <w:color w:val="000000" w:themeColor="text1"/>
                <w:sz w:val="16"/>
                <w:szCs w:val="16"/>
              </w:rPr>
              <w:t>omen</w:t>
            </w:r>
            <w:r w:rsidR="00CF476E">
              <w:rPr>
                <w:color w:val="000000" w:themeColor="text1"/>
                <w:sz w:val="16"/>
                <w:szCs w:val="16"/>
              </w:rPr>
              <w:t>’</w:t>
            </w:r>
            <w:r w:rsidRPr="003F2C03">
              <w:rPr>
                <w:color w:val="000000" w:themeColor="text1"/>
                <w:sz w:val="16"/>
                <w:szCs w:val="16"/>
              </w:rPr>
              <w:t xml:space="preserve">s </w:t>
            </w:r>
            <w:r w:rsidR="00CF476E">
              <w:rPr>
                <w:color w:val="000000" w:themeColor="text1"/>
                <w:sz w:val="16"/>
                <w:szCs w:val="16"/>
              </w:rPr>
              <w:t>E</w:t>
            </w:r>
            <w:r w:rsidRPr="003F2C03">
              <w:rPr>
                <w:color w:val="000000" w:themeColor="text1"/>
                <w:sz w:val="16"/>
                <w:szCs w:val="16"/>
              </w:rPr>
              <w:t xml:space="preserve">ntrepreneurship implemented </w:t>
            </w:r>
          </w:p>
          <w:p w14:paraId="51F358EB" w14:textId="3038040B" w:rsidR="00704EB3" w:rsidRPr="003F2C03" w:rsidRDefault="00704EB3" w:rsidP="002C2321">
            <w:pPr>
              <w:tabs>
                <w:tab w:val="left" w:pos="1742"/>
              </w:tabs>
              <w:rPr>
                <w:color w:val="000000" w:themeColor="text1"/>
                <w:sz w:val="16"/>
                <w:szCs w:val="16"/>
              </w:rPr>
            </w:pPr>
            <w:r w:rsidRPr="003F2C03">
              <w:rPr>
                <w:b/>
                <w:color w:val="000000" w:themeColor="text1"/>
                <w:sz w:val="16"/>
                <w:szCs w:val="16"/>
              </w:rPr>
              <w:t>Baseline</w:t>
            </w:r>
            <w:r w:rsidRPr="003F2C03">
              <w:rPr>
                <w:color w:val="000000" w:themeColor="text1"/>
                <w:sz w:val="16"/>
                <w:szCs w:val="16"/>
              </w:rPr>
              <w:t xml:space="preserve"> </w:t>
            </w:r>
            <w:r w:rsidRPr="00AA7688">
              <w:rPr>
                <w:b/>
                <w:color w:val="000000" w:themeColor="text1"/>
                <w:sz w:val="16"/>
                <w:szCs w:val="16"/>
              </w:rPr>
              <w:t>(2016)</w:t>
            </w:r>
            <w:r w:rsidR="00CF476E" w:rsidRPr="00AA7688">
              <w:rPr>
                <w:b/>
                <w:color w:val="000000" w:themeColor="text1"/>
                <w:sz w:val="16"/>
                <w:szCs w:val="16"/>
              </w:rPr>
              <w:t>:</w:t>
            </w:r>
            <w:r w:rsidRPr="003F2C03">
              <w:rPr>
                <w:color w:val="000000" w:themeColor="text1"/>
                <w:sz w:val="16"/>
                <w:szCs w:val="16"/>
              </w:rPr>
              <w:t xml:space="preserve"> 0</w:t>
            </w:r>
          </w:p>
          <w:p w14:paraId="7FA71652" w14:textId="1CA775CB" w:rsidR="00704EB3" w:rsidRPr="003F2C03" w:rsidRDefault="00704EB3" w:rsidP="002C2321">
            <w:pPr>
              <w:tabs>
                <w:tab w:val="left" w:pos="1742"/>
              </w:tabs>
              <w:rPr>
                <w:color w:val="000000" w:themeColor="text1"/>
                <w:sz w:val="16"/>
                <w:szCs w:val="16"/>
              </w:rPr>
            </w:pPr>
            <w:r w:rsidRPr="003F2C03">
              <w:rPr>
                <w:b/>
                <w:color w:val="000000" w:themeColor="text1"/>
                <w:sz w:val="16"/>
                <w:szCs w:val="16"/>
              </w:rPr>
              <w:t>Target</w:t>
            </w:r>
            <w:r w:rsidRPr="003F2C03">
              <w:rPr>
                <w:color w:val="000000" w:themeColor="text1"/>
                <w:sz w:val="16"/>
                <w:szCs w:val="16"/>
              </w:rPr>
              <w:t xml:space="preserve"> </w:t>
            </w:r>
            <w:r w:rsidRPr="00AA7688">
              <w:rPr>
                <w:b/>
                <w:color w:val="000000" w:themeColor="text1"/>
                <w:sz w:val="16"/>
                <w:szCs w:val="16"/>
              </w:rPr>
              <w:t>(2019</w:t>
            </w:r>
            <w:r w:rsidRPr="003F2C03">
              <w:rPr>
                <w:color w:val="000000" w:themeColor="text1"/>
                <w:sz w:val="16"/>
                <w:szCs w:val="16"/>
              </w:rPr>
              <w:t>)</w:t>
            </w:r>
            <w:r w:rsidR="00CF476E">
              <w:rPr>
                <w:color w:val="000000" w:themeColor="text1"/>
                <w:sz w:val="16"/>
                <w:szCs w:val="16"/>
              </w:rPr>
              <w:t>:</w:t>
            </w:r>
            <w:r w:rsidRPr="003F2C03">
              <w:rPr>
                <w:color w:val="000000" w:themeColor="text1"/>
                <w:sz w:val="16"/>
                <w:szCs w:val="16"/>
              </w:rPr>
              <w:t xml:space="preserve"> 70%</w:t>
            </w:r>
          </w:p>
          <w:p w14:paraId="481037A8" w14:textId="10AD830D" w:rsidR="00B775DD" w:rsidRPr="00F66191" w:rsidRDefault="00704EB3" w:rsidP="002C2321">
            <w:pPr>
              <w:tabs>
                <w:tab w:val="left" w:pos="1742"/>
              </w:tabs>
              <w:rPr>
                <w:color w:val="000000" w:themeColor="text1"/>
                <w:sz w:val="16"/>
                <w:szCs w:val="16"/>
              </w:rPr>
            </w:pPr>
            <w:r w:rsidRPr="003F2C03">
              <w:rPr>
                <w:b/>
                <w:color w:val="000000" w:themeColor="text1"/>
                <w:sz w:val="16"/>
                <w:szCs w:val="16"/>
              </w:rPr>
              <w:t>Means of verification</w:t>
            </w:r>
            <w:r w:rsidRPr="003F2C03">
              <w:rPr>
                <w:color w:val="000000" w:themeColor="text1"/>
                <w:sz w:val="16"/>
                <w:szCs w:val="16"/>
              </w:rPr>
              <w:t xml:space="preserve">: Government annual  reports  </w:t>
            </w:r>
          </w:p>
        </w:tc>
        <w:tc>
          <w:tcPr>
            <w:tcW w:w="608" w:type="pct"/>
            <w:vMerge w:val="restart"/>
            <w:tcBorders>
              <w:bottom w:val="single" w:sz="4" w:space="0" w:color="auto"/>
            </w:tcBorders>
          </w:tcPr>
          <w:p w14:paraId="31340937" w14:textId="7D0A8AE5" w:rsidR="00704EB3" w:rsidRPr="003F2C03" w:rsidRDefault="00704EB3" w:rsidP="002C2321">
            <w:pPr>
              <w:rPr>
                <w:iCs/>
                <w:color w:val="000000"/>
                <w:sz w:val="16"/>
                <w:szCs w:val="16"/>
                <w:lang w:val="en-GB"/>
              </w:rPr>
            </w:pPr>
            <w:r w:rsidRPr="003F2C03">
              <w:rPr>
                <w:iCs/>
                <w:color w:val="000000"/>
                <w:sz w:val="16"/>
                <w:szCs w:val="16"/>
                <w:lang w:val="en-GB"/>
              </w:rPr>
              <w:lastRenderedPageBreak/>
              <w:t>Prime Minister</w:t>
            </w:r>
            <w:r w:rsidR="00901E89">
              <w:rPr>
                <w:iCs/>
                <w:color w:val="000000"/>
                <w:sz w:val="16"/>
                <w:szCs w:val="16"/>
                <w:lang w:val="en-GB"/>
              </w:rPr>
              <w:t>’s</w:t>
            </w:r>
            <w:r w:rsidRPr="003F2C03">
              <w:rPr>
                <w:iCs/>
                <w:color w:val="000000"/>
                <w:sz w:val="16"/>
                <w:szCs w:val="16"/>
                <w:lang w:val="en-GB"/>
              </w:rPr>
              <w:t xml:space="preserve"> Cabinet</w:t>
            </w:r>
            <w:r w:rsidR="00901E89">
              <w:rPr>
                <w:iCs/>
                <w:color w:val="000000"/>
                <w:sz w:val="16"/>
                <w:szCs w:val="16"/>
                <w:lang w:val="en-GB"/>
              </w:rPr>
              <w:t>;</w:t>
            </w:r>
            <w:r w:rsidRPr="003F2C03">
              <w:rPr>
                <w:iCs/>
                <w:color w:val="000000"/>
                <w:sz w:val="16"/>
                <w:szCs w:val="16"/>
                <w:lang w:val="en-GB"/>
              </w:rPr>
              <w:t xml:space="preserve"> Ministr</w:t>
            </w:r>
            <w:r w:rsidR="00901E89">
              <w:rPr>
                <w:iCs/>
                <w:color w:val="000000"/>
                <w:sz w:val="16"/>
                <w:szCs w:val="16"/>
                <w:lang w:val="en-GB"/>
              </w:rPr>
              <w:t>ies</w:t>
            </w:r>
            <w:r w:rsidRPr="003F2C03">
              <w:rPr>
                <w:iCs/>
                <w:color w:val="000000"/>
                <w:sz w:val="16"/>
                <w:szCs w:val="16"/>
                <w:lang w:val="en-GB"/>
              </w:rPr>
              <w:t xml:space="preserve"> of Economy, Interior, Sustainable Development and Tourism, Finance, Information Society and Telecommunications</w:t>
            </w:r>
            <w:r w:rsidR="00901E89">
              <w:rPr>
                <w:iCs/>
                <w:color w:val="000000"/>
                <w:sz w:val="16"/>
                <w:szCs w:val="16"/>
                <w:lang w:val="en-GB"/>
              </w:rPr>
              <w:t>;</w:t>
            </w:r>
          </w:p>
          <w:p w14:paraId="34524D03" w14:textId="5968C5F9" w:rsidR="00704EB3" w:rsidRPr="003F2C03" w:rsidRDefault="00901E89" w:rsidP="00901E89">
            <w:pPr>
              <w:rPr>
                <w:iCs/>
                <w:color w:val="000000"/>
                <w:sz w:val="16"/>
                <w:szCs w:val="16"/>
                <w:lang w:val="en-GB"/>
              </w:rPr>
            </w:pPr>
            <w:r>
              <w:rPr>
                <w:iCs/>
                <w:color w:val="000000"/>
                <w:sz w:val="16"/>
                <w:szCs w:val="16"/>
                <w:lang w:val="en-GB"/>
              </w:rPr>
              <w:t>l</w:t>
            </w:r>
            <w:r w:rsidR="00704EB3" w:rsidRPr="003F2C03">
              <w:rPr>
                <w:iCs/>
                <w:color w:val="000000"/>
                <w:sz w:val="16"/>
                <w:szCs w:val="16"/>
                <w:lang w:val="en-GB"/>
              </w:rPr>
              <w:t xml:space="preserve">ocal authorities, </w:t>
            </w:r>
            <w:r>
              <w:rPr>
                <w:iCs/>
                <w:color w:val="000000"/>
                <w:sz w:val="16"/>
                <w:szCs w:val="16"/>
                <w:lang w:val="en-GB"/>
              </w:rPr>
              <w:t>a</w:t>
            </w:r>
            <w:r w:rsidR="00704EB3" w:rsidRPr="003F2C03">
              <w:rPr>
                <w:iCs/>
                <w:color w:val="000000"/>
                <w:sz w:val="16"/>
                <w:szCs w:val="16"/>
                <w:lang w:val="en-GB"/>
              </w:rPr>
              <w:t xml:space="preserve">cademia, </w:t>
            </w:r>
            <w:r>
              <w:rPr>
                <w:iCs/>
                <w:color w:val="000000"/>
                <w:sz w:val="16"/>
                <w:szCs w:val="16"/>
                <w:lang w:val="en-GB"/>
              </w:rPr>
              <w:t>e</w:t>
            </w:r>
            <w:r w:rsidR="00704EB3" w:rsidRPr="003F2C03">
              <w:rPr>
                <w:iCs/>
                <w:color w:val="000000"/>
                <w:sz w:val="16"/>
                <w:szCs w:val="16"/>
                <w:lang w:val="en-GB"/>
              </w:rPr>
              <w:t xml:space="preserve">mployers’ </w:t>
            </w:r>
            <w:r>
              <w:rPr>
                <w:iCs/>
                <w:color w:val="000000"/>
                <w:sz w:val="16"/>
                <w:szCs w:val="16"/>
                <w:lang w:val="en-GB"/>
              </w:rPr>
              <w:t>a</w:t>
            </w:r>
            <w:r w:rsidR="00704EB3" w:rsidRPr="003F2C03">
              <w:rPr>
                <w:iCs/>
                <w:color w:val="000000"/>
                <w:sz w:val="16"/>
                <w:szCs w:val="16"/>
                <w:lang w:val="en-GB"/>
              </w:rPr>
              <w:t xml:space="preserve">ssociations, </w:t>
            </w:r>
            <w:r>
              <w:rPr>
                <w:iCs/>
                <w:color w:val="000000"/>
                <w:sz w:val="16"/>
                <w:szCs w:val="16"/>
                <w:lang w:val="en-GB"/>
              </w:rPr>
              <w:t>u</w:t>
            </w:r>
            <w:r w:rsidR="00704EB3" w:rsidRPr="003F2C03">
              <w:rPr>
                <w:iCs/>
                <w:color w:val="000000"/>
                <w:sz w:val="16"/>
                <w:szCs w:val="16"/>
                <w:lang w:val="en-GB"/>
              </w:rPr>
              <w:t xml:space="preserve">nions </w:t>
            </w:r>
          </w:p>
        </w:tc>
        <w:tc>
          <w:tcPr>
            <w:tcW w:w="928" w:type="pct"/>
            <w:gridSpan w:val="3"/>
            <w:vMerge w:val="restart"/>
            <w:tcBorders>
              <w:bottom w:val="single" w:sz="4" w:space="0" w:color="auto"/>
            </w:tcBorders>
            <w:tcMar>
              <w:top w:w="15" w:type="dxa"/>
              <w:left w:w="108" w:type="dxa"/>
              <w:bottom w:w="0" w:type="dxa"/>
              <w:right w:w="108" w:type="dxa"/>
            </w:tcMar>
          </w:tcPr>
          <w:p w14:paraId="4A8A73B5" w14:textId="77777777" w:rsidR="00704EB3" w:rsidRPr="003F2C03" w:rsidRDefault="00704EB3" w:rsidP="002C2321">
            <w:pPr>
              <w:rPr>
                <w:b/>
                <w:color w:val="000000"/>
                <w:sz w:val="16"/>
                <w:szCs w:val="16"/>
              </w:rPr>
            </w:pPr>
            <w:r w:rsidRPr="003F2C03">
              <w:rPr>
                <w:b/>
                <w:color w:val="000000"/>
                <w:sz w:val="16"/>
                <w:szCs w:val="16"/>
              </w:rPr>
              <w:t xml:space="preserve">Regular: </w:t>
            </w:r>
          </w:p>
          <w:p w14:paraId="464A3F50" w14:textId="56CC1606" w:rsidR="00704EB3" w:rsidRPr="003F2C03" w:rsidRDefault="009D5473" w:rsidP="002C2321">
            <w:pPr>
              <w:rPr>
                <w:b/>
                <w:color w:val="000000"/>
                <w:sz w:val="16"/>
                <w:szCs w:val="16"/>
              </w:rPr>
            </w:pPr>
            <w:r w:rsidRPr="003F2C03">
              <w:rPr>
                <w:b/>
                <w:color w:val="000000"/>
                <w:sz w:val="16"/>
                <w:szCs w:val="16"/>
              </w:rPr>
              <w:t>234</w:t>
            </w:r>
            <w:r w:rsidR="00704EB3" w:rsidRPr="003F2C03">
              <w:rPr>
                <w:b/>
                <w:color w:val="000000"/>
                <w:sz w:val="16"/>
                <w:szCs w:val="16"/>
              </w:rPr>
              <w:t>,000</w:t>
            </w:r>
          </w:p>
          <w:p w14:paraId="296BC764" w14:textId="77777777" w:rsidR="00704EB3" w:rsidRPr="003F2C03" w:rsidRDefault="00704EB3" w:rsidP="002C2321">
            <w:pPr>
              <w:rPr>
                <w:b/>
                <w:color w:val="000000"/>
                <w:sz w:val="16"/>
                <w:szCs w:val="16"/>
              </w:rPr>
            </w:pPr>
          </w:p>
          <w:p w14:paraId="2D91B99C" w14:textId="77777777" w:rsidR="00704EB3" w:rsidRPr="003F2C03" w:rsidRDefault="00704EB3" w:rsidP="002C2321">
            <w:pPr>
              <w:rPr>
                <w:b/>
                <w:color w:val="000000"/>
                <w:sz w:val="16"/>
                <w:szCs w:val="16"/>
              </w:rPr>
            </w:pPr>
            <w:r w:rsidRPr="003F2C03">
              <w:rPr>
                <w:b/>
                <w:color w:val="000000"/>
                <w:sz w:val="16"/>
                <w:szCs w:val="16"/>
              </w:rPr>
              <w:t xml:space="preserve">Other: </w:t>
            </w:r>
          </w:p>
          <w:p w14:paraId="71FDFB9B" w14:textId="5C57E287" w:rsidR="00704EB3" w:rsidRPr="003F2C03" w:rsidRDefault="0014549C" w:rsidP="002C2321">
            <w:pPr>
              <w:rPr>
                <w:b/>
                <w:color w:val="000000"/>
                <w:sz w:val="16"/>
                <w:szCs w:val="16"/>
              </w:rPr>
            </w:pPr>
            <w:r w:rsidRPr="003F2C03">
              <w:rPr>
                <w:b/>
                <w:color w:val="000000"/>
                <w:sz w:val="16"/>
                <w:szCs w:val="16"/>
              </w:rPr>
              <w:t>1,9</w:t>
            </w:r>
            <w:r w:rsidR="009D5473" w:rsidRPr="003F2C03">
              <w:rPr>
                <w:b/>
                <w:color w:val="000000"/>
                <w:sz w:val="16"/>
                <w:szCs w:val="16"/>
              </w:rPr>
              <w:t>43</w:t>
            </w:r>
            <w:r w:rsidR="00704EB3" w:rsidRPr="003F2C03">
              <w:rPr>
                <w:b/>
                <w:color w:val="000000"/>
                <w:sz w:val="16"/>
                <w:szCs w:val="16"/>
              </w:rPr>
              <w:t>,000</w:t>
            </w:r>
          </w:p>
          <w:p w14:paraId="26CD0D50" w14:textId="77777777" w:rsidR="00704EB3" w:rsidRPr="003F2C03" w:rsidRDefault="00704EB3" w:rsidP="002C2321">
            <w:pPr>
              <w:rPr>
                <w:b/>
                <w:color w:val="000000"/>
                <w:sz w:val="16"/>
                <w:szCs w:val="16"/>
              </w:rPr>
            </w:pPr>
          </w:p>
          <w:p w14:paraId="51713750" w14:textId="77777777" w:rsidR="00704EB3" w:rsidRPr="003F2C03" w:rsidRDefault="00704EB3" w:rsidP="002C2321">
            <w:pPr>
              <w:rPr>
                <w:b/>
                <w:color w:val="000000"/>
                <w:sz w:val="16"/>
                <w:szCs w:val="16"/>
              </w:rPr>
            </w:pPr>
          </w:p>
          <w:p w14:paraId="7F63D618" w14:textId="77777777" w:rsidR="00704EB3" w:rsidRPr="003F2C03" w:rsidRDefault="00704EB3" w:rsidP="002C2321">
            <w:pPr>
              <w:rPr>
                <w:color w:val="000000"/>
                <w:sz w:val="16"/>
                <w:szCs w:val="16"/>
              </w:rPr>
            </w:pPr>
          </w:p>
          <w:p w14:paraId="34195559" w14:textId="77777777" w:rsidR="00704EB3" w:rsidRPr="003F2C03" w:rsidRDefault="00704EB3" w:rsidP="002C2321">
            <w:pPr>
              <w:rPr>
                <w:color w:val="000000"/>
                <w:sz w:val="16"/>
                <w:szCs w:val="16"/>
              </w:rPr>
            </w:pPr>
          </w:p>
          <w:p w14:paraId="5461313F" w14:textId="02640FDF" w:rsidR="00704EB3" w:rsidRPr="003F2C03" w:rsidRDefault="00704EB3" w:rsidP="002C2321">
            <w:pPr>
              <w:rPr>
                <w:b/>
                <w:color w:val="000000"/>
                <w:sz w:val="16"/>
                <w:szCs w:val="16"/>
              </w:rPr>
            </w:pPr>
          </w:p>
        </w:tc>
      </w:tr>
      <w:tr w:rsidR="00704EB3" w:rsidRPr="00857B70" w14:paraId="4BD4B816" w14:textId="77777777" w:rsidTr="005F172E">
        <w:tc>
          <w:tcPr>
            <w:tcW w:w="1135" w:type="pct"/>
            <w:tcBorders>
              <w:bottom w:val="single" w:sz="4" w:space="0" w:color="auto"/>
            </w:tcBorders>
            <w:tcMar>
              <w:top w:w="72" w:type="dxa"/>
              <w:left w:w="144" w:type="dxa"/>
              <w:bottom w:w="72" w:type="dxa"/>
              <w:right w:w="144" w:type="dxa"/>
            </w:tcMar>
            <w:vAlign w:val="center"/>
          </w:tcPr>
          <w:p w14:paraId="25F6ADFE" w14:textId="39566482" w:rsidR="00704EB3" w:rsidRPr="003F2C03" w:rsidRDefault="00704EB3" w:rsidP="002C2321">
            <w:pPr>
              <w:rPr>
                <w:b/>
                <w:bCs/>
                <w:color w:val="000000"/>
                <w:sz w:val="16"/>
                <w:szCs w:val="16"/>
              </w:rPr>
            </w:pPr>
            <w:r w:rsidRPr="003F2C03">
              <w:rPr>
                <w:b/>
                <w:bCs/>
                <w:color w:val="000000"/>
                <w:sz w:val="16"/>
                <w:szCs w:val="16"/>
              </w:rPr>
              <w:t>3. Employment rate</w:t>
            </w:r>
          </w:p>
          <w:p w14:paraId="07AAE421" w14:textId="77777777" w:rsidR="00704EB3" w:rsidRPr="00AA7688" w:rsidRDefault="00704EB3" w:rsidP="002C2321">
            <w:pPr>
              <w:rPr>
                <w:b/>
                <w:color w:val="000000"/>
                <w:sz w:val="16"/>
                <w:szCs w:val="16"/>
              </w:rPr>
            </w:pPr>
            <w:r w:rsidRPr="00AA7688">
              <w:rPr>
                <w:b/>
                <w:color w:val="000000"/>
                <w:sz w:val="16"/>
                <w:szCs w:val="16"/>
              </w:rPr>
              <w:t>Baseline (2015):</w:t>
            </w:r>
          </w:p>
          <w:p w14:paraId="5A7B1C6B" w14:textId="0EC8882E" w:rsidR="00704EB3" w:rsidRPr="003F2C03" w:rsidRDefault="00704EB3" w:rsidP="002C2321">
            <w:pPr>
              <w:rPr>
                <w:color w:val="000000"/>
                <w:sz w:val="16"/>
                <w:szCs w:val="16"/>
              </w:rPr>
            </w:pPr>
            <w:r w:rsidRPr="003F2C03">
              <w:rPr>
                <w:color w:val="000000"/>
                <w:sz w:val="16"/>
                <w:szCs w:val="16"/>
              </w:rPr>
              <w:t>Employment rate</w:t>
            </w:r>
            <w:r w:rsidR="00A64C28">
              <w:rPr>
                <w:color w:val="000000"/>
                <w:sz w:val="16"/>
                <w:szCs w:val="16"/>
              </w:rPr>
              <w:t>:</w:t>
            </w:r>
            <w:r w:rsidRPr="003F2C03">
              <w:rPr>
                <w:color w:val="000000"/>
                <w:sz w:val="16"/>
                <w:szCs w:val="16"/>
              </w:rPr>
              <w:t xml:space="preserve"> 43</w:t>
            </w:r>
            <w:r w:rsidR="00A64C28">
              <w:rPr>
                <w:color w:val="000000"/>
                <w:sz w:val="16"/>
                <w:szCs w:val="16"/>
              </w:rPr>
              <w:t>.</w:t>
            </w:r>
            <w:r w:rsidRPr="003F2C03">
              <w:rPr>
                <w:color w:val="000000"/>
                <w:sz w:val="16"/>
                <w:szCs w:val="16"/>
              </w:rPr>
              <w:t>2%</w:t>
            </w:r>
            <w:r w:rsidR="00A64C28">
              <w:rPr>
                <w:color w:val="000000"/>
                <w:sz w:val="16"/>
                <w:szCs w:val="16"/>
              </w:rPr>
              <w:t xml:space="preserve">; </w:t>
            </w:r>
            <w:r w:rsidRPr="003F2C03">
              <w:rPr>
                <w:color w:val="000000"/>
                <w:sz w:val="16"/>
                <w:szCs w:val="16"/>
              </w:rPr>
              <w:t>male</w:t>
            </w:r>
            <w:r w:rsidR="00A64C28">
              <w:rPr>
                <w:color w:val="000000"/>
                <w:sz w:val="16"/>
                <w:szCs w:val="16"/>
              </w:rPr>
              <w:t>,</w:t>
            </w:r>
            <w:r w:rsidRPr="003F2C03">
              <w:rPr>
                <w:color w:val="000000"/>
                <w:sz w:val="16"/>
                <w:szCs w:val="16"/>
              </w:rPr>
              <w:t xml:space="preserve"> 48.9%</w:t>
            </w:r>
            <w:r w:rsidR="00A64C28">
              <w:rPr>
                <w:color w:val="000000"/>
                <w:sz w:val="16"/>
                <w:szCs w:val="16"/>
              </w:rPr>
              <w:t xml:space="preserve">; </w:t>
            </w:r>
            <w:r w:rsidRPr="003F2C03">
              <w:rPr>
                <w:color w:val="000000"/>
                <w:sz w:val="16"/>
                <w:szCs w:val="16"/>
              </w:rPr>
              <w:t xml:space="preserve"> female</w:t>
            </w:r>
            <w:r w:rsidR="00A64C28">
              <w:rPr>
                <w:color w:val="000000"/>
                <w:sz w:val="16"/>
                <w:szCs w:val="16"/>
              </w:rPr>
              <w:t>,</w:t>
            </w:r>
            <w:r w:rsidRPr="003F2C03">
              <w:rPr>
                <w:color w:val="000000"/>
                <w:sz w:val="16"/>
                <w:szCs w:val="16"/>
              </w:rPr>
              <w:t xml:space="preserve"> 37.8%</w:t>
            </w:r>
          </w:p>
          <w:p w14:paraId="3FFE1EBF" w14:textId="46E16855" w:rsidR="00704EB3" w:rsidRPr="003F2C03" w:rsidRDefault="00A64C28" w:rsidP="002C2321">
            <w:pPr>
              <w:rPr>
                <w:sz w:val="16"/>
                <w:szCs w:val="16"/>
              </w:rPr>
            </w:pPr>
            <w:r>
              <w:rPr>
                <w:sz w:val="16"/>
                <w:szCs w:val="16"/>
              </w:rPr>
              <w:t>S</w:t>
            </w:r>
            <w:r w:rsidR="00704EB3" w:rsidRPr="003F2C03">
              <w:rPr>
                <w:sz w:val="16"/>
                <w:szCs w:val="16"/>
              </w:rPr>
              <w:t>outh</w:t>
            </w:r>
            <w:r>
              <w:rPr>
                <w:sz w:val="16"/>
                <w:szCs w:val="16"/>
              </w:rPr>
              <w:t>,</w:t>
            </w:r>
            <w:r w:rsidR="00704EB3" w:rsidRPr="003F2C03">
              <w:rPr>
                <w:sz w:val="16"/>
                <w:szCs w:val="16"/>
              </w:rPr>
              <w:t xml:space="preserve"> 50%</w:t>
            </w:r>
            <w:r>
              <w:rPr>
                <w:sz w:val="16"/>
                <w:szCs w:val="16"/>
              </w:rPr>
              <w:t xml:space="preserve">; </w:t>
            </w:r>
            <w:r w:rsidR="00704EB3" w:rsidRPr="003F2C03">
              <w:rPr>
                <w:sz w:val="16"/>
                <w:szCs w:val="16"/>
              </w:rPr>
              <w:t>central</w:t>
            </w:r>
            <w:r>
              <w:rPr>
                <w:sz w:val="16"/>
                <w:szCs w:val="16"/>
              </w:rPr>
              <w:t xml:space="preserve">, </w:t>
            </w:r>
            <w:r w:rsidR="00704EB3" w:rsidRPr="003F2C03">
              <w:rPr>
                <w:sz w:val="16"/>
                <w:szCs w:val="16"/>
              </w:rPr>
              <w:t>49.2%</w:t>
            </w:r>
            <w:r>
              <w:rPr>
                <w:sz w:val="16"/>
                <w:szCs w:val="16"/>
              </w:rPr>
              <w:t xml:space="preserve">; </w:t>
            </w:r>
            <w:r w:rsidR="00704EB3" w:rsidRPr="003F2C03">
              <w:rPr>
                <w:sz w:val="16"/>
                <w:szCs w:val="16"/>
              </w:rPr>
              <w:t>north</w:t>
            </w:r>
            <w:r>
              <w:rPr>
                <w:sz w:val="16"/>
                <w:szCs w:val="16"/>
              </w:rPr>
              <w:t>,</w:t>
            </w:r>
            <w:r w:rsidR="00704EB3" w:rsidRPr="003F2C03">
              <w:rPr>
                <w:sz w:val="16"/>
                <w:szCs w:val="16"/>
              </w:rPr>
              <w:t xml:space="preserve"> 27.5%</w:t>
            </w:r>
          </w:p>
          <w:p w14:paraId="12EE521E" w14:textId="22577B43" w:rsidR="00704EB3" w:rsidRPr="003F2C03" w:rsidRDefault="00A64C28" w:rsidP="002C2321">
            <w:pPr>
              <w:rPr>
                <w:sz w:val="16"/>
                <w:szCs w:val="16"/>
              </w:rPr>
            </w:pPr>
            <w:r>
              <w:rPr>
                <w:sz w:val="16"/>
                <w:szCs w:val="16"/>
              </w:rPr>
              <w:t>Y</w:t>
            </w:r>
            <w:r w:rsidR="00704EB3" w:rsidRPr="003F2C03">
              <w:rPr>
                <w:sz w:val="16"/>
                <w:szCs w:val="16"/>
              </w:rPr>
              <w:t>outh</w:t>
            </w:r>
            <w:r>
              <w:rPr>
                <w:sz w:val="16"/>
                <w:szCs w:val="16"/>
              </w:rPr>
              <w:t xml:space="preserve"> (</w:t>
            </w:r>
            <w:r w:rsidR="00704EB3" w:rsidRPr="003F2C03">
              <w:rPr>
                <w:sz w:val="16"/>
                <w:szCs w:val="16"/>
              </w:rPr>
              <w:t>15-24</w:t>
            </w:r>
            <w:r>
              <w:rPr>
                <w:sz w:val="16"/>
                <w:szCs w:val="16"/>
              </w:rPr>
              <w:t>),</w:t>
            </w:r>
            <w:r w:rsidR="00704EB3" w:rsidRPr="003F2C03">
              <w:rPr>
                <w:sz w:val="16"/>
                <w:szCs w:val="16"/>
              </w:rPr>
              <w:t xml:space="preserve"> 18.8%</w:t>
            </w:r>
          </w:p>
          <w:p w14:paraId="5BD0FC5F" w14:textId="77777777" w:rsidR="00704EB3" w:rsidRPr="00AA7688" w:rsidRDefault="00704EB3" w:rsidP="002C2321">
            <w:pPr>
              <w:rPr>
                <w:b/>
                <w:sz w:val="16"/>
                <w:szCs w:val="16"/>
              </w:rPr>
            </w:pPr>
            <w:r w:rsidRPr="00AA7688">
              <w:rPr>
                <w:b/>
                <w:sz w:val="16"/>
                <w:szCs w:val="16"/>
              </w:rPr>
              <w:t>Target (2021):</w:t>
            </w:r>
          </w:p>
          <w:p w14:paraId="62DD943F" w14:textId="017F314B" w:rsidR="00704EB3" w:rsidRPr="003F2C03" w:rsidRDefault="00704EB3" w:rsidP="002C2321">
            <w:pPr>
              <w:rPr>
                <w:color w:val="000000" w:themeColor="text1"/>
                <w:sz w:val="16"/>
                <w:szCs w:val="16"/>
              </w:rPr>
            </w:pPr>
            <w:r w:rsidRPr="003F2C03">
              <w:rPr>
                <w:color w:val="000000" w:themeColor="text1"/>
                <w:sz w:val="16"/>
                <w:szCs w:val="16"/>
              </w:rPr>
              <w:t>Employment rate</w:t>
            </w:r>
            <w:r w:rsidR="00A64C28">
              <w:rPr>
                <w:color w:val="000000" w:themeColor="text1"/>
                <w:sz w:val="16"/>
                <w:szCs w:val="16"/>
              </w:rPr>
              <w:t>:</w:t>
            </w:r>
            <w:r w:rsidRPr="003F2C03">
              <w:rPr>
                <w:color w:val="000000" w:themeColor="text1"/>
                <w:sz w:val="16"/>
                <w:szCs w:val="16"/>
              </w:rPr>
              <w:t xml:space="preserve"> 48%</w:t>
            </w:r>
            <w:r w:rsidR="00A64C28">
              <w:rPr>
                <w:color w:val="000000" w:themeColor="text1"/>
                <w:sz w:val="16"/>
                <w:szCs w:val="16"/>
              </w:rPr>
              <w:t xml:space="preserve">; </w:t>
            </w:r>
            <w:r w:rsidRPr="003F2C03">
              <w:rPr>
                <w:color w:val="000000" w:themeColor="text1"/>
                <w:sz w:val="16"/>
                <w:szCs w:val="16"/>
              </w:rPr>
              <w:t>male</w:t>
            </w:r>
            <w:r w:rsidR="00A64C28">
              <w:rPr>
                <w:color w:val="000000" w:themeColor="text1"/>
                <w:sz w:val="16"/>
                <w:szCs w:val="16"/>
              </w:rPr>
              <w:t>,</w:t>
            </w:r>
            <w:r w:rsidRPr="003F2C03">
              <w:rPr>
                <w:color w:val="000000" w:themeColor="text1"/>
                <w:sz w:val="16"/>
                <w:szCs w:val="16"/>
              </w:rPr>
              <w:t xml:space="preserve"> 53%</w:t>
            </w:r>
            <w:r w:rsidR="00A64C28">
              <w:rPr>
                <w:color w:val="000000" w:themeColor="text1"/>
                <w:sz w:val="16"/>
                <w:szCs w:val="16"/>
              </w:rPr>
              <w:t xml:space="preserve">; </w:t>
            </w:r>
            <w:r w:rsidRPr="003F2C03">
              <w:rPr>
                <w:color w:val="000000" w:themeColor="text1"/>
                <w:sz w:val="16"/>
                <w:szCs w:val="16"/>
              </w:rPr>
              <w:t>female</w:t>
            </w:r>
            <w:r w:rsidR="00A64C28">
              <w:rPr>
                <w:color w:val="000000" w:themeColor="text1"/>
                <w:sz w:val="16"/>
                <w:szCs w:val="16"/>
              </w:rPr>
              <w:t xml:space="preserve">, </w:t>
            </w:r>
            <w:r w:rsidRPr="003F2C03">
              <w:rPr>
                <w:color w:val="000000" w:themeColor="text1"/>
                <w:sz w:val="16"/>
                <w:szCs w:val="16"/>
              </w:rPr>
              <w:t>43%</w:t>
            </w:r>
          </w:p>
          <w:p w14:paraId="698D298C" w14:textId="10BBFC8A" w:rsidR="00704EB3" w:rsidRPr="003F2C03" w:rsidRDefault="00A64C28" w:rsidP="002C2321">
            <w:pPr>
              <w:rPr>
                <w:color w:val="000000" w:themeColor="text1"/>
                <w:sz w:val="16"/>
                <w:szCs w:val="16"/>
              </w:rPr>
            </w:pPr>
            <w:r>
              <w:rPr>
                <w:color w:val="000000" w:themeColor="text1"/>
                <w:sz w:val="16"/>
                <w:szCs w:val="16"/>
              </w:rPr>
              <w:t>S</w:t>
            </w:r>
            <w:r w:rsidR="00704EB3" w:rsidRPr="003F2C03">
              <w:rPr>
                <w:color w:val="000000" w:themeColor="text1"/>
                <w:sz w:val="16"/>
                <w:szCs w:val="16"/>
              </w:rPr>
              <w:t>outh</w:t>
            </w:r>
            <w:r>
              <w:rPr>
                <w:color w:val="000000" w:themeColor="text1"/>
                <w:sz w:val="16"/>
                <w:szCs w:val="16"/>
              </w:rPr>
              <w:t>,</w:t>
            </w:r>
            <w:r w:rsidR="00704EB3" w:rsidRPr="003F2C03">
              <w:rPr>
                <w:color w:val="000000" w:themeColor="text1"/>
                <w:sz w:val="16"/>
                <w:szCs w:val="16"/>
              </w:rPr>
              <w:t xml:space="preserve"> 53%</w:t>
            </w:r>
            <w:r>
              <w:rPr>
                <w:color w:val="000000" w:themeColor="text1"/>
                <w:sz w:val="16"/>
                <w:szCs w:val="16"/>
              </w:rPr>
              <w:t xml:space="preserve">; </w:t>
            </w:r>
            <w:r w:rsidR="00704EB3" w:rsidRPr="003F2C03">
              <w:rPr>
                <w:color w:val="000000" w:themeColor="text1"/>
                <w:sz w:val="16"/>
                <w:szCs w:val="16"/>
              </w:rPr>
              <w:t>central</w:t>
            </w:r>
            <w:r>
              <w:rPr>
                <w:color w:val="000000" w:themeColor="text1"/>
                <w:sz w:val="16"/>
                <w:szCs w:val="16"/>
              </w:rPr>
              <w:t>,</w:t>
            </w:r>
            <w:r w:rsidR="00704EB3" w:rsidRPr="003F2C03">
              <w:rPr>
                <w:color w:val="000000" w:themeColor="text1"/>
                <w:sz w:val="16"/>
                <w:szCs w:val="16"/>
              </w:rPr>
              <w:t xml:space="preserve"> 52%</w:t>
            </w:r>
            <w:r>
              <w:rPr>
                <w:color w:val="000000" w:themeColor="text1"/>
                <w:sz w:val="16"/>
                <w:szCs w:val="16"/>
              </w:rPr>
              <w:t>;</w:t>
            </w:r>
            <w:r w:rsidR="00704EB3" w:rsidRPr="003F2C03">
              <w:rPr>
                <w:color w:val="000000" w:themeColor="text1"/>
                <w:sz w:val="16"/>
                <w:szCs w:val="16"/>
              </w:rPr>
              <w:t xml:space="preserve"> north</w:t>
            </w:r>
            <w:r>
              <w:rPr>
                <w:color w:val="000000" w:themeColor="text1"/>
                <w:sz w:val="16"/>
                <w:szCs w:val="16"/>
              </w:rPr>
              <w:t>,</w:t>
            </w:r>
            <w:r w:rsidR="00704EB3" w:rsidRPr="003F2C03">
              <w:rPr>
                <w:color w:val="000000" w:themeColor="text1"/>
                <w:sz w:val="16"/>
                <w:szCs w:val="16"/>
              </w:rPr>
              <w:t xml:space="preserve"> 35%</w:t>
            </w:r>
          </w:p>
          <w:p w14:paraId="677FD8F1" w14:textId="72BE9DB1" w:rsidR="00704EB3" w:rsidRPr="003F2C03" w:rsidRDefault="00A64C28" w:rsidP="002C2321">
            <w:pPr>
              <w:rPr>
                <w:color w:val="000000" w:themeColor="text1"/>
                <w:sz w:val="16"/>
                <w:szCs w:val="16"/>
              </w:rPr>
            </w:pPr>
            <w:r>
              <w:rPr>
                <w:color w:val="000000" w:themeColor="text1"/>
                <w:sz w:val="16"/>
                <w:szCs w:val="16"/>
              </w:rPr>
              <w:t>Y</w:t>
            </w:r>
            <w:r w:rsidR="00704EB3" w:rsidRPr="003F2C03">
              <w:rPr>
                <w:color w:val="000000" w:themeColor="text1"/>
                <w:sz w:val="16"/>
                <w:szCs w:val="16"/>
              </w:rPr>
              <w:t>outh</w:t>
            </w:r>
            <w:r>
              <w:rPr>
                <w:color w:val="000000" w:themeColor="text1"/>
                <w:sz w:val="16"/>
                <w:szCs w:val="16"/>
              </w:rPr>
              <w:t xml:space="preserve"> (</w:t>
            </w:r>
            <w:r w:rsidR="00704EB3" w:rsidRPr="003F2C03">
              <w:rPr>
                <w:color w:val="000000" w:themeColor="text1"/>
                <w:sz w:val="16"/>
                <w:szCs w:val="16"/>
              </w:rPr>
              <w:t>15-24</w:t>
            </w:r>
            <w:r>
              <w:rPr>
                <w:color w:val="000000" w:themeColor="text1"/>
                <w:sz w:val="16"/>
                <w:szCs w:val="16"/>
              </w:rPr>
              <w:t>),</w:t>
            </w:r>
            <w:r w:rsidR="00704EB3" w:rsidRPr="003F2C03">
              <w:rPr>
                <w:color w:val="000000" w:themeColor="text1"/>
                <w:sz w:val="16"/>
                <w:szCs w:val="16"/>
              </w:rPr>
              <w:t xml:space="preserve"> 29%</w:t>
            </w:r>
          </w:p>
          <w:p w14:paraId="68C6833D" w14:textId="77777777" w:rsidR="00704EB3" w:rsidRPr="003F2C03" w:rsidRDefault="00704EB3" w:rsidP="002C2321">
            <w:pPr>
              <w:rPr>
                <w:iCs/>
                <w:color w:val="000000"/>
                <w:sz w:val="16"/>
                <w:szCs w:val="16"/>
                <w:lang w:val="en-GB"/>
              </w:rPr>
            </w:pPr>
          </w:p>
          <w:p w14:paraId="292B5876" w14:textId="77777777" w:rsidR="00B775DD" w:rsidRPr="003F2C03" w:rsidRDefault="00B775DD" w:rsidP="002C2321">
            <w:pPr>
              <w:rPr>
                <w:iCs/>
                <w:color w:val="000000"/>
                <w:sz w:val="16"/>
                <w:szCs w:val="16"/>
                <w:lang w:val="en-GB"/>
              </w:rPr>
            </w:pPr>
          </w:p>
          <w:p w14:paraId="1175FDD4" w14:textId="15B47DF9" w:rsidR="00704EB3" w:rsidRPr="003F2C03" w:rsidRDefault="00704EB3" w:rsidP="002C2321">
            <w:pPr>
              <w:rPr>
                <w:b/>
                <w:bCs/>
                <w:sz w:val="16"/>
                <w:szCs w:val="16"/>
              </w:rPr>
            </w:pPr>
            <w:r w:rsidRPr="003F2C03">
              <w:rPr>
                <w:b/>
                <w:bCs/>
                <w:sz w:val="16"/>
                <w:szCs w:val="16"/>
              </w:rPr>
              <w:t xml:space="preserve">4. World Bank </w:t>
            </w:r>
            <w:r w:rsidR="00901E89">
              <w:rPr>
                <w:b/>
                <w:bCs/>
                <w:sz w:val="16"/>
                <w:szCs w:val="16"/>
              </w:rPr>
              <w:t>‘</w:t>
            </w:r>
            <w:r w:rsidRPr="003F2C03">
              <w:rPr>
                <w:b/>
                <w:bCs/>
                <w:sz w:val="16"/>
                <w:szCs w:val="16"/>
              </w:rPr>
              <w:t xml:space="preserve">Doing </w:t>
            </w:r>
            <w:r w:rsidR="00A64C28">
              <w:rPr>
                <w:b/>
                <w:bCs/>
                <w:sz w:val="16"/>
                <w:szCs w:val="16"/>
              </w:rPr>
              <w:t>B</w:t>
            </w:r>
            <w:r w:rsidRPr="003F2C03">
              <w:rPr>
                <w:b/>
                <w:bCs/>
                <w:sz w:val="16"/>
                <w:szCs w:val="16"/>
              </w:rPr>
              <w:t>usiness</w:t>
            </w:r>
            <w:r w:rsidR="00901E89">
              <w:rPr>
                <w:b/>
                <w:bCs/>
                <w:sz w:val="16"/>
                <w:szCs w:val="16"/>
              </w:rPr>
              <w:t>’</w:t>
            </w:r>
            <w:r w:rsidRPr="003F2C03">
              <w:rPr>
                <w:b/>
                <w:bCs/>
                <w:sz w:val="16"/>
                <w:szCs w:val="16"/>
              </w:rPr>
              <w:t xml:space="preserve"> report</w:t>
            </w:r>
          </w:p>
          <w:p w14:paraId="769758A6" w14:textId="112FBBA8" w:rsidR="00704EB3" w:rsidRPr="003F2C03" w:rsidRDefault="00704EB3" w:rsidP="002C2321">
            <w:pPr>
              <w:rPr>
                <w:sz w:val="16"/>
                <w:szCs w:val="16"/>
              </w:rPr>
            </w:pPr>
            <w:r w:rsidRPr="00AA7688">
              <w:rPr>
                <w:b/>
                <w:sz w:val="16"/>
                <w:szCs w:val="16"/>
              </w:rPr>
              <w:t>Baseline (2016):</w:t>
            </w:r>
            <w:r w:rsidRPr="003F2C03">
              <w:rPr>
                <w:sz w:val="16"/>
                <w:szCs w:val="16"/>
              </w:rPr>
              <w:t xml:space="preserve"> </w:t>
            </w:r>
            <w:r w:rsidR="00CF476E">
              <w:rPr>
                <w:sz w:val="16"/>
                <w:szCs w:val="16"/>
              </w:rPr>
              <w:t xml:space="preserve">Ranked </w:t>
            </w:r>
            <w:r w:rsidRPr="003F2C03">
              <w:rPr>
                <w:sz w:val="16"/>
                <w:szCs w:val="16"/>
              </w:rPr>
              <w:t>46 out of 189</w:t>
            </w:r>
          </w:p>
          <w:p w14:paraId="2730BFB5" w14:textId="77777777" w:rsidR="00704EB3" w:rsidRPr="003F2C03" w:rsidRDefault="00704EB3" w:rsidP="002C2321">
            <w:pPr>
              <w:rPr>
                <w:iCs/>
                <w:color w:val="000000"/>
                <w:sz w:val="16"/>
                <w:szCs w:val="16"/>
                <w:lang w:val="en-GB"/>
              </w:rPr>
            </w:pPr>
            <w:r w:rsidRPr="00AA7688">
              <w:rPr>
                <w:b/>
                <w:sz w:val="16"/>
                <w:szCs w:val="16"/>
              </w:rPr>
              <w:t>Target (2021):</w:t>
            </w:r>
            <w:r w:rsidRPr="00AA7688">
              <w:rPr>
                <w:sz w:val="16"/>
                <w:szCs w:val="16"/>
              </w:rPr>
              <w:t xml:space="preserve"> </w:t>
            </w:r>
            <w:r w:rsidRPr="003F2C03">
              <w:rPr>
                <w:sz w:val="16"/>
                <w:szCs w:val="16"/>
              </w:rPr>
              <w:t>Top 20 in global ranking</w:t>
            </w:r>
          </w:p>
        </w:tc>
        <w:tc>
          <w:tcPr>
            <w:tcW w:w="705" w:type="pct"/>
            <w:tcBorders>
              <w:bottom w:val="single" w:sz="4" w:space="0" w:color="auto"/>
            </w:tcBorders>
            <w:vAlign w:val="center"/>
          </w:tcPr>
          <w:p w14:paraId="14374FB5" w14:textId="78708B9D" w:rsidR="00704EB3" w:rsidRPr="003F2C03" w:rsidRDefault="00704EB3" w:rsidP="002C2321">
            <w:pPr>
              <w:rPr>
                <w:color w:val="000000"/>
                <w:sz w:val="16"/>
                <w:szCs w:val="16"/>
              </w:rPr>
            </w:pPr>
            <w:r w:rsidRPr="003F2C03">
              <w:rPr>
                <w:color w:val="000000"/>
                <w:sz w:val="16"/>
                <w:szCs w:val="16"/>
              </w:rPr>
              <w:t xml:space="preserve">Labour </w:t>
            </w:r>
            <w:r w:rsidR="00901E89">
              <w:rPr>
                <w:color w:val="000000"/>
                <w:sz w:val="16"/>
                <w:szCs w:val="16"/>
              </w:rPr>
              <w:t>m</w:t>
            </w:r>
            <w:r w:rsidRPr="003F2C03">
              <w:rPr>
                <w:color w:val="000000"/>
                <w:sz w:val="16"/>
                <w:szCs w:val="16"/>
              </w:rPr>
              <w:t xml:space="preserve">arket </w:t>
            </w:r>
            <w:r w:rsidR="00901E89">
              <w:rPr>
                <w:color w:val="000000"/>
                <w:sz w:val="16"/>
                <w:szCs w:val="16"/>
              </w:rPr>
              <w:t>s</w:t>
            </w:r>
            <w:r w:rsidRPr="003F2C03">
              <w:rPr>
                <w:color w:val="000000"/>
                <w:sz w:val="16"/>
                <w:szCs w:val="16"/>
              </w:rPr>
              <w:t xml:space="preserve">urvey, </w:t>
            </w:r>
          </w:p>
          <w:p w14:paraId="28F99B23" w14:textId="3E677133" w:rsidR="00704EB3" w:rsidRPr="003F2C03" w:rsidRDefault="00704EB3" w:rsidP="002C2321">
            <w:pPr>
              <w:rPr>
                <w:color w:val="000000"/>
                <w:sz w:val="16"/>
                <w:szCs w:val="16"/>
              </w:rPr>
            </w:pPr>
            <w:r w:rsidRPr="003F2C03">
              <w:rPr>
                <w:color w:val="000000"/>
                <w:sz w:val="16"/>
                <w:szCs w:val="16"/>
              </w:rPr>
              <w:t>Statistical Office Montenegro</w:t>
            </w:r>
            <w:r w:rsidR="00901E89">
              <w:rPr>
                <w:color w:val="000000"/>
                <w:sz w:val="16"/>
                <w:szCs w:val="16"/>
              </w:rPr>
              <w:t>,</w:t>
            </w:r>
          </w:p>
          <w:p w14:paraId="0AC15307" w14:textId="10A8EB91" w:rsidR="00704EB3" w:rsidRPr="00857B70" w:rsidRDefault="00704EB3" w:rsidP="002C2321">
            <w:pPr>
              <w:rPr>
                <w:iCs/>
                <w:color w:val="000000"/>
                <w:sz w:val="16"/>
                <w:szCs w:val="16"/>
                <w:lang w:val="en-GB"/>
              </w:rPr>
            </w:pPr>
            <w:r w:rsidRPr="003F2C03">
              <w:rPr>
                <w:color w:val="000000"/>
                <w:sz w:val="16"/>
                <w:szCs w:val="16"/>
              </w:rPr>
              <w:t xml:space="preserve">World Bank </w:t>
            </w:r>
            <w:r w:rsidR="00901E89">
              <w:rPr>
                <w:color w:val="000000"/>
                <w:sz w:val="16"/>
                <w:szCs w:val="16"/>
              </w:rPr>
              <w:t>‘</w:t>
            </w:r>
            <w:r w:rsidRPr="003F2C03">
              <w:rPr>
                <w:color w:val="000000"/>
                <w:sz w:val="16"/>
                <w:szCs w:val="16"/>
              </w:rPr>
              <w:t>Doing Business</w:t>
            </w:r>
            <w:r w:rsidR="00901E89">
              <w:rPr>
                <w:color w:val="000000"/>
                <w:sz w:val="16"/>
                <w:szCs w:val="16"/>
              </w:rPr>
              <w:t>’</w:t>
            </w:r>
            <w:r w:rsidRPr="003F2C03">
              <w:rPr>
                <w:color w:val="000000"/>
                <w:sz w:val="16"/>
                <w:szCs w:val="16"/>
              </w:rPr>
              <w:t xml:space="preserve"> </w:t>
            </w:r>
            <w:r w:rsidR="00CF476E">
              <w:rPr>
                <w:color w:val="000000"/>
                <w:sz w:val="16"/>
                <w:szCs w:val="16"/>
              </w:rPr>
              <w:t>r</w:t>
            </w:r>
            <w:r w:rsidRPr="003F2C03">
              <w:rPr>
                <w:color w:val="000000"/>
                <w:sz w:val="16"/>
                <w:szCs w:val="16"/>
              </w:rPr>
              <w:t>eport</w:t>
            </w:r>
            <w:r w:rsidRPr="00857B70">
              <w:rPr>
                <w:color w:val="000000"/>
                <w:sz w:val="16"/>
                <w:szCs w:val="16"/>
              </w:rPr>
              <w:t xml:space="preserve"> </w:t>
            </w:r>
          </w:p>
          <w:p w14:paraId="359AE7B2" w14:textId="77777777" w:rsidR="00704EB3" w:rsidRPr="00857B70" w:rsidRDefault="00704EB3" w:rsidP="002C2321">
            <w:pPr>
              <w:rPr>
                <w:color w:val="000000"/>
                <w:sz w:val="16"/>
                <w:szCs w:val="16"/>
              </w:rPr>
            </w:pPr>
          </w:p>
          <w:p w14:paraId="12B75B54" w14:textId="77777777" w:rsidR="00704EB3" w:rsidRPr="00857B70" w:rsidRDefault="00704EB3" w:rsidP="002C2321">
            <w:pPr>
              <w:rPr>
                <w:color w:val="000000"/>
                <w:sz w:val="16"/>
                <w:szCs w:val="16"/>
              </w:rPr>
            </w:pPr>
          </w:p>
          <w:p w14:paraId="1F3759D1" w14:textId="77777777" w:rsidR="00704EB3" w:rsidRPr="00857B70" w:rsidRDefault="00704EB3" w:rsidP="002C2321">
            <w:pPr>
              <w:rPr>
                <w:color w:val="000000"/>
                <w:sz w:val="16"/>
                <w:szCs w:val="16"/>
              </w:rPr>
            </w:pPr>
          </w:p>
          <w:p w14:paraId="297D7886" w14:textId="77777777" w:rsidR="00704EB3" w:rsidRPr="00857B70" w:rsidRDefault="00704EB3" w:rsidP="002C2321">
            <w:pPr>
              <w:rPr>
                <w:color w:val="000000"/>
                <w:sz w:val="16"/>
                <w:szCs w:val="16"/>
              </w:rPr>
            </w:pPr>
          </w:p>
          <w:p w14:paraId="4D857F1A" w14:textId="77777777" w:rsidR="00704EB3" w:rsidRPr="00857B70" w:rsidRDefault="00704EB3" w:rsidP="002C2321">
            <w:pPr>
              <w:rPr>
                <w:color w:val="000000"/>
                <w:sz w:val="16"/>
                <w:szCs w:val="16"/>
              </w:rPr>
            </w:pPr>
          </w:p>
          <w:p w14:paraId="1569DACB" w14:textId="77777777" w:rsidR="00704EB3" w:rsidRPr="00857B70" w:rsidRDefault="00704EB3" w:rsidP="002C2321">
            <w:pPr>
              <w:rPr>
                <w:color w:val="000000"/>
                <w:sz w:val="16"/>
                <w:szCs w:val="16"/>
              </w:rPr>
            </w:pPr>
          </w:p>
          <w:p w14:paraId="18FB6920" w14:textId="77777777" w:rsidR="00704EB3" w:rsidRPr="00857B70" w:rsidRDefault="00704EB3" w:rsidP="002C2321">
            <w:pPr>
              <w:rPr>
                <w:color w:val="000000"/>
                <w:sz w:val="16"/>
                <w:szCs w:val="16"/>
              </w:rPr>
            </w:pPr>
          </w:p>
          <w:p w14:paraId="7FFCC01F" w14:textId="77777777" w:rsidR="00704EB3" w:rsidRPr="00857B70" w:rsidRDefault="00704EB3" w:rsidP="002C2321">
            <w:pPr>
              <w:rPr>
                <w:color w:val="000000"/>
                <w:sz w:val="16"/>
                <w:szCs w:val="16"/>
              </w:rPr>
            </w:pPr>
          </w:p>
          <w:p w14:paraId="1E635AC0" w14:textId="77777777" w:rsidR="00704EB3" w:rsidRPr="00857B70" w:rsidRDefault="00704EB3" w:rsidP="002C2321">
            <w:pPr>
              <w:rPr>
                <w:iCs/>
                <w:color w:val="000000"/>
                <w:sz w:val="16"/>
                <w:szCs w:val="16"/>
                <w:lang w:val="en-GB"/>
              </w:rPr>
            </w:pPr>
          </w:p>
        </w:tc>
        <w:tc>
          <w:tcPr>
            <w:tcW w:w="1624" w:type="pct"/>
            <w:vMerge/>
            <w:tcBorders>
              <w:bottom w:val="single" w:sz="4" w:space="0" w:color="auto"/>
            </w:tcBorders>
            <w:tcMar>
              <w:top w:w="72" w:type="dxa"/>
              <w:left w:w="144" w:type="dxa"/>
              <w:bottom w:w="72" w:type="dxa"/>
              <w:right w:w="144" w:type="dxa"/>
            </w:tcMar>
          </w:tcPr>
          <w:p w14:paraId="649D4A65" w14:textId="77777777" w:rsidR="00704EB3" w:rsidRPr="00857B70" w:rsidRDefault="00704EB3" w:rsidP="002C2321">
            <w:pPr>
              <w:rPr>
                <w:iCs/>
                <w:color w:val="000000"/>
                <w:sz w:val="16"/>
                <w:szCs w:val="16"/>
                <w:lang w:val="en-GB"/>
              </w:rPr>
            </w:pPr>
          </w:p>
        </w:tc>
        <w:tc>
          <w:tcPr>
            <w:tcW w:w="608" w:type="pct"/>
            <w:vMerge/>
            <w:tcBorders>
              <w:bottom w:val="single" w:sz="4" w:space="0" w:color="auto"/>
            </w:tcBorders>
          </w:tcPr>
          <w:p w14:paraId="013BEBF2" w14:textId="77777777" w:rsidR="00704EB3" w:rsidRPr="00857B70" w:rsidRDefault="00704EB3" w:rsidP="002C2321">
            <w:pPr>
              <w:rPr>
                <w:iCs/>
                <w:color w:val="000000"/>
                <w:sz w:val="16"/>
                <w:szCs w:val="16"/>
                <w:lang w:val="en-GB"/>
              </w:rPr>
            </w:pPr>
          </w:p>
        </w:tc>
        <w:tc>
          <w:tcPr>
            <w:tcW w:w="928" w:type="pct"/>
            <w:gridSpan w:val="3"/>
            <w:vMerge/>
            <w:tcBorders>
              <w:bottom w:val="single" w:sz="4" w:space="0" w:color="auto"/>
            </w:tcBorders>
            <w:tcMar>
              <w:top w:w="15" w:type="dxa"/>
              <w:left w:w="108" w:type="dxa"/>
              <w:bottom w:w="0" w:type="dxa"/>
              <w:right w:w="108" w:type="dxa"/>
            </w:tcMar>
          </w:tcPr>
          <w:p w14:paraId="72D761ED" w14:textId="77777777" w:rsidR="00704EB3" w:rsidRPr="00857B70" w:rsidRDefault="00704EB3" w:rsidP="002C2321">
            <w:pPr>
              <w:rPr>
                <w:b/>
                <w:color w:val="000000"/>
                <w:sz w:val="16"/>
                <w:szCs w:val="16"/>
              </w:rPr>
            </w:pPr>
          </w:p>
        </w:tc>
      </w:tr>
    </w:tbl>
    <w:p w14:paraId="5CADC00C" w14:textId="77777777" w:rsidR="00F66191" w:rsidRDefault="00F66191" w:rsidP="00F66191">
      <w:pPr>
        <w:jc w:val="center"/>
        <w:rPr>
          <w:color w:val="000000"/>
        </w:rPr>
      </w:pPr>
    </w:p>
    <w:p w14:paraId="15CFEAD9" w14:textId="1142F20A" w:rsidR="0014549C" w:rsidRDefault="00F66191" w:rsidP="00F66191">
      <w:pPr>
        <w:jc w:val="center"/>
        <w:rPr>
          <w:color w:val="000000"/>
        </w:rPr>
      </w:pPr>
      <w:r w:rsidRPr="00F66191">
        <w:rPr>
          <w:bCs/>
          <w:noProof/>
          <w:sz w:val="18"/>
          <w:szCs w:val="18"/>
        </w:rPr>
        <w:drawing>
          <wp:inline distT="0" distB="0" distL="0" distR="0" wp14:anchorId="504C2533" wp14:editId="143BFEE1">
            <wp:extent cx="944880" cy="30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14549C" w:rsidSect="00B465EE">
      <w:headerReference w:type="even" r:id="rId18"/>
      <w:headerReference w:type="default" r:id="rId19"/>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8431" w14:textId="77777777" w:rsidR="00463697" w:rsidRDefault="00463697" w:rsidP="00441061">
      <w:r>
        <w:separator/>
      </w:r>
    </w:p>
  </w:endnote>
  <w:endnote w:type="continuationSeparator" w:id="0">
    <w:p w14:paraId="612889A1" w14:textId="77777777" w:rsidR="00463697" w:rsidRDefault="00463697"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7030"/>
      <w:docPartObj>
        <w:docPartGallery w:val="Page Numbers (Bottom of Page)"/>
        <w:docPartUnique/>
      </w:docPartObj>
    </w:sdtPr>
    <w:sdtEndPr>
      <w:rPr>
        <w:noProof/>
      </w:rPr>
    </w:sdtEndPr>
    <w:sdtContent>
      <w:p w14:paraId="4814D3B7" w14:textId="478B1724" w:rsidR="00EC608F" w:rsidRDefault="00EC608F" w:rsidP="00F66191">
        <w:pPr>
          <w:pStyle w:val="Footer"/>
          <w:ind w:hanging="630"/>
        </w:pPr>
        <w:r w:rsidRPr="000C45A0">
          <w:rPr>
            <w:b/>
            <w:sz w:val="17"/>
            <w:szCs w:val="17"/>
          </w:rPr>
          <w:fldChar w:fldCharType="begin"/>
        </w:r>
        <w:r w:rsidRPr="000C45A0">
          <w:rPr>
            <w:b/>
            <w:sz w:val="17"/>
            <w:szCs w:val="17"/>
          </w:rPr>
          <w:instrText xml:space="preserve"> PAGE   \* MERGEFORMAT </w:instrText>
        </w:r>
        <w:r w:rsidRPr="000C45A0">
          <w:rPr>
            <w:b/>
            <w:sz w:val="17"/>
            <w:szCs w:val="17"/>
          </w:rPr>
          <w:fldChar w:fldCharType="separate"/>
        </w:r>
        <w:r w:rsidR="000A5952">
          <w:rPr>
            <w:b/>
            <w:noProof/>
            <w:sz w:val="17"/>
            <w:szCs w:val="17"/>
          </w:rPr>
          <w:t>10</w:t>
        </w:r>
        <w:r w:rsidRPr="000C45A0">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122234"/>
      <w:docPartObj>
        <w:docPartGallery w:val="Page Numbers (Bottom of Page)"/>
        <w:docPartUnique/>
      </w:docPartObj>
    </w:sdtPr>
    <w:sdtEndPr>
      <w:rPr>
        <w:b/>
        <w:noProof/>
        <w:sz w:val="17"/>
        <w:szCs w:val="17"/>
      </w:rPr>
    </w:sdtEndPr>
    <w:sdtContent>
      <w:p w14:paraId="5D57CA47" w14:textId="650EA59F" w:rsidR="00EC608F" w:rsidRPr="005F172E" w:rsidRDefault="00EC608F" w:rsidP="005F172E">
        <w:pPr>
          <w:pStyle w:val="Footer"/>
          <w:jc w:val="right"/>
          <w:rPr>
            <w:b/>
            <w:sz w:val="17"/>
            <w:szCs w:val="17"/>
          </w:rPr>
        </w:pPr>
        <w:r w:rsidRPr="005F172E">
          <w:rPr>
            <w:b/>
            <w:sz w:val="17"/>
            <w:szCs w:val="17"/>
          </w:rPr>
          <w:fldChar w:fldCharType="begin"/>
        </w:r>
        <w:r w:rsidRPr="005F172E">
          <w:rPr>
            <w:b/>
            <w:sz w:val="17"/>
            <w:szCs w:val="17"/>
          </w:rPr>
          <w:instrText xml:space="preserve"> PAGE   \* MERGEFORMAT </w:instrText>
        </w:r>
        <w:r w:rsidRPr="005F172E">
          <w:rPr>
            <w:b/>
            <w:sz w:val="17"/>
            <w:szCs w:val="17"/>
          </w:rPr>
          <w:fldChar w:fldCharType="separate"/>
        </w:r>
        <w:r w:rsidR="000A5952">
          <w:rPr>
            <w:b/>
            <w:noProof/>
            <w:sz w:val="17"/>
            <w:szCs w:val="17"/>
          </w:rPr>
          <w:t>9</w:t>
        </w:r>
        <w:r w:rsidRPr="005F172E">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8A29" w14:textId="77777777" w:rsidR="00463697" w:rsidRDefault="00463697" w:rsidP="00441061">
      <w:r>
        <w:separator/>
      </w:r>
    </w:p>
  </w:footnote>
  <w:footnote w:type="continuationSeparator" w:id="0">
    <w:p w14:paraId="695CDC36" w14:textId="77777777" w:rsidR="00463697" w:rsidRDefault="00463697" w:rsidP="00441061">
      <w:r>
        <w:continuationSeparator/>
      </w:r>
    </w:p>
  </w:footnote>
  <w:footnote w:id="1">
    <w:p w14:paraId="3E0DC3EE" w14:textId="696BAE06" w:rsidR="00EC608F" w:rsidRPr="00AA0543" w:rsidRDefault="00EC608F" w:rsidP="0018433B">
      <w:pPr>
        <w:jc w:val="both"/>
        <w:rPr>
          <w:sz w:val="16"/>
          <w:szCs w:val="16"/>
        </w:rPr>
      </w:pPr>
      <w:r w:rsidRPr="00AA0543">
        <w:rPr>
          <w:rStyle w:val="FootnoteReference"/>
          <w:sz w:val="16"/>
          <w:szCs w:val="16"/>
        </w:rPr>
        <w:footnoteRef/>
      </w:r>
      <w:r w:rsidRPr="00AA0543">
        <w:rPr>
          <w:sz w:val="16"/>
          <w:szCs w:val="16"/>
        </w:rPr>
        <w:t xml:space="preserve"> MONSTAT statement 2015, </w:t>
      </w:r>
      <w:hyperlink r:id="rId1" w:history="1">
        <w:r w:rsidRPr="00AA0543">
          <w:rPr>
            <w:rStyle w:val="Hyperlink"/>
            <w:color w:val="auto"/>
            <w:sz w:val="16"/>
            <w:szCs w:val="16"/>
          </w:rPr>
          <w:t>http://www.monstat.org/eng/novosti.php?id=1796</w:t>
        </w:r>
      </w:hyperlink>
      <w:r>
        <w:rPr>
          <w:rStyle w:val="Hyperlink"/>
          <w:color w:val="auto"/>
          <w:sz w:val="16"/>
          <w:szCs w:val="16"/>
        </w:rPr>
        <w:t>.</w:t>
      </w:r>
      <w:r w:rsidRPr="00AA0543">
        <w:rPr>
          <w:sz w:val="16"/>
          <w:szCs w:val="16"/>
        </w:rPr>
        <w:t xml:space="preserve"> </w:t>
      </w:r>
    </w:p>
  </w:footnote>
  <w:footnote w:id="2">
    <w:p w14:paraId="09EF6781" w14:textId="338ABA9C" w:rsidR="00EC608F" w:rsidRPr="00AA0543" w:rsidRDefault="00EC608F">
      <w:pPr>
        <w:pStyle w:val="FootnoteText"/>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Economic Reforms Programme 2016-2018</w:t>
      </w:r>
      <w:r>
        <w:rPr>
          <w:rFonts w:ascii="Times New Roman" w:hAnsi="Times New Roman"/>
          <w:sz w:val="16"/>
          <w:szCs w:val="16"/>
        </w:rPr>
        <w:t>.</w:t>
      </w:r>
    </w:p>
  </w:footnote>
  <w:footnote w:id="3">
    <w:p w14:paraId="312261D2" w14:textId="210E0513" w:rsidR="00EC608F" w:rsidRPr="00AA0543" w:rsidRDefault="00EC608F" w:rsidP="0018433B">
      <w:pPr>
        <w:pStyle w:val="FootnoteText"/>
        <w:jc w:val="both"/>
        <w:rPr>
          <w:rFonts w:ascii="Times New Roman" w:hAnsi="Times New Roman"/>
          <w:sz w:val="16"/>
          <w:szCs w:val="16"/>
          <w:lang w:val="en-CA"/>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U</w:t>
      </w:r>
      <w:r>
        <w:rPr>
          <w:rFonts w:ascii="Times New Roman" w:hAnsi="Times New Roman"/>
          <w:sz w:val="16"/>
          <w:szCs w:val="16"/>
        </w:rPr>
        <w:t xml:space="preserve">nited </w:t>
      </w:r>
      <w:r w:rsidRPr="00AA0543">
        <w:rPr>
          <w:rFonts w:ascii="Times New Roman" w:hAnsi="Times New Roman"/>
          <w:sz w:val="16"/>
          <w:szCs w:val="16"/>
        </w:rPr>
        <w:t>N</w:t>
      </w:r>
      <w:r>
        <w:rPr>
          <w:rFonts w:ascii="Times New Roman" w:hAnsi="Times New Roman"/>
          <w:sz w:val="16"/>
          <w:szCs w:val="16"/>
        </w:rPr>
        <w:t>ations</w:t>
      </w:r>
      <w:r w:rsidRPr="00AA0543">
        <w:rPr>
          <w:rFonts w:ascii="Times New Roman" w:hAnsi="Times New Roman"/>
          <w:sz w:val="16"/>
          <w:szCs w:val="16"/>
        </w:rPr>
        <w:t xml:space="preserve"> Montenegro Country Analysis, 2015</w:t>
      </w:r>
      <w:r>
        <w:rPr>
          <w:rFonts w:ascii="Times New Roman" w:hAnsi="Times New Roman"/>
          <w:sz w:val="16"/>
          <w:szCs w:val="16"/>
        </w:rPr>
        <w:t>.</w:t>
      </w:r>
    </w:p>
  </w:footnote>
  <w:footnote w:id="4">
    <w:p w14:paraId="0F0F7F65" w14:textId="336CA289"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Montenegro Statistical Office (MONSTAT), 2015</w:t>
      </w:r>
      <w:r>
        <w:rPr>
          <w:rFonts w:ascii="Times New Roman" w:hAnsi="Times New Roman"/>
          <w:sz w:val="16"/>
          <w:szCs w:val="16"/>
        </w:rPr>
        <w:t>.</w:t>
      </w:r>
    </w:p>
  </w:footnote>
  <w:footnote w:id="5">
    <w:p w14:paraId="609711D1" w14:textId="487B8FF0"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IMF Montenegro Financial System Assessment, 2016</w:t>
      </w:r>
      <w:r>
        <w:rPr>
          <w:rFonts w:ascii="Times New Roman" w:hAnsi="Times New Roman"/>
          <w:sz w:val="16"/>
          <w:szCs w:val="16"/>
        </w:rPr>
        <w:t>.</w:t>
      </w:r>
    </w:p>
  </w:footnote>
  <w:footnote w:id="6">
    <w:p w14:paraId="1E936DBF" w14:textId="1525EDF2"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Gini Coefficient is 28.6 (2011-2015)</w:t>
      </w:r>
      <w:r>
        <w:rPr>
          <w:rFonts w:ascii="Times New Roman" w:hAnsi="Times New Roman"/>
          <w:sz w:val="16"/>
          <w:szCs w:val="16"/>
        </w:rPr>
        <w:t xml:space="preserve"> (</w:t>
      </w:r>
      <w:hyperlink r:id="rId2" w:history="1">
        <w:r w:rsidRPr="00AA0543">
          <w:rPr>
            <w:rStyle w:val="Hyperlink"/>
            <w:rFonts w:ascii="Times New Roman" w:hAnsi="Times New Roman"/>
            <w:color w:val="auto"/>
            <w:sz w:val="16"/>
            <w:szCs w:val="16"/>
          </w:rPr>
          <w:t>http://data.worldbank.org/indicator/SI.POV.GINI?page</w:t>
        </w:r>
      </w:hyperlink>
      <w:r w:rsidRPr="00AA0543">
        <w:rPr>
          <w:rFonts w:ascii="Times New Roman" w:hAnsi="Times New Roman"/>
          <w:sz w:val="16"/>
          <w:szCs w:val="16"/>
        </w:rPr>
        <w:t>=1</w:t>
      </w:r>
      <w:r>
        <w:rPr>
          <w:rFonts w:ascii="Times New Roman" w:hAnsi="Times New Roman"/>
          <w:sz w:val="16"/>
          <w:szCs w:val="16"/>
        </w:rPr>
        <w:t>).</w:t>
      </w:r>
      <w:r w:rsidRPr="00AA0543">
        <w:rPr>
          <w:rFonts w:ascii="Times New Roman" w:hAnsi="Times New Roman"/>
          <w:sz w:val="16"/>
          <w:szCs w:val="16"/>
        </w:rPr>
        <w:t xml:space="preserve"> </w:t>
      </w:r>
    </w:p>
  </w:footnote>
  <w:footnote w:id="7">
    <w:p w14:paraId="18E604AB" w14:textId="38934086"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Labo</w:t>
      </w:r>
      <w:r>
        <w:rPr>
          <w:rFonts w:ascii="Times New Roman" w:hAnsi="Times New Roman"/>
          <w:sz w:val="16"/>
          <w:szCs w:val="16"/>
        </w:rPr>
        <w:t>u</w:t>
      </w:r>
      <w:r w:rsidRPr="00AA0543">
        <w:rPr>
          <w:rFonts w:ascii="Times New Roman" w:hAnsi="Times New Roman"/>
          <w:sz w:val="16"/>
          <w:szCs w:val="16"/>
        </w:rPr>
        <w:t>r Force Survey, MONSTAT 2015</w:t>
      </w:r>
      <w:r>
        <w:rPr>
          <w:rFonts w:ascii="Times New Roman" w:hAnsi="Times New Roman"/>
          <w:sz w:val="16"/>
          <w:szCs w:val="16"/>
        </w:rPr>
        <w:t>.</w:t>
      </w:r>
    </w:p>
  </w:footnote>
  <w:footnote w:id="8">
    <w:p w14:paraId="4B4DC426" w14:textId="1FA8BE45" w:rsidR="00EC608F" w:rsidRPr="00AA7688"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w:t>
      </w:r>
      <w:r>
        <w:rPr>
          <w:rFonts w:ascii="Times New Roman" w:hAnsi="Times New Roman"/>
          <w:sz w:val="16"/>
          <w:szCs w:val="16"/>
        </w:rPr>
        <w:t xml:space="preserve">Economic growth was </w:t>
      </w:r>
      <w:r w:rsidRPr="00AA0543">
        <w:rPr>
          <w:rFonts w:ascii="Times New Roman" w:hAnsi="Times New Roman"/>
          <w:sz w:val="16"/>
          <w:szCs w:val="16"/>
        </w:rPr>
        <w:t>3.5% in 2013, 1.8% in 2014</w:t>
      </w:r>
      <w:r>
        <w:rPr>
          <w:rFonts w:ascii="Times New Roman" w:hAnsi="Times New Roman"/>
          <w:sz w:val="16"/>
          <w:szCs w:val="16"/>
        </w:rPr>
        <w:t xml:space="preserve"> and</w:t>
      </w:r>
      <w:r w:rsidRPr="00AA0543">
        <w:rPr>
          <w:rFonts w:ascii="Times New Roman" w:hAnsi="Times New Roman"/>
          <w:sz w:val="16"/>
          <w:szCs w:val="16"/>
        </w:rPr>
        <w:t xml:space="preserve"> 4.1% in 2015</w:t>
      </w:r>
      <w:r>
        <w:rPr>
          <w:rFonts w:ascii="Times New Roman" w:hAnsi="Times New Roman"/>
          <w:sz w:val="16"/>
          <w:szCs w:val="16"/>
        </w:rPr>
        <w:t xml:space="preserve"> (</w:t>
      </w:r>
      <w:r w:rsidRPr="00AA7688">
        <w:rPr>
          <w:rFonts w:ascii="Times New Roman" w:hAnsi="Times New Roman"/>
          <w:sz w:val="16"/>
          <w:szCs w:val="16"/>
        </w:rPr>
        <w:t>www.imf.org/external/np/sec/pr/2016/pr1695.htm</w:t>
      </w:r>
      <w:r>
        <w:rPr>
          <w:rFonts w:ascii="Times New Roman" w:hAnsi="Times New Roman"/>
          <w:sz w:val="16"/>
          <w:szCs w:val="16"/>
        </w:rPr>
        <w:t>).</w:t>
      </w:r>
    </w:p>
  </w:footnote>
  <w:footnote w:id="9">
    <w:p w14:paraId="016AD035" w14:textId="14E78470"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EU Progress Report 2015</w:t>
      </w:r>
      <w:r>
        <w:rPr>
          <w:rFonts w:ascii="Times New Roman" w:hAnsi="Times New Roman"/>
          <w:sz w:val="16"/>
          <w:szCs w:val="16"/>
        </w:rPr>
        <w:t>.</w:t>
      </w:r>
    </w:p>
  </w:footnote>
  <w:footnote w:id="10">
    <w:p w14:paraId="79C23207" w14:textId="2BDCD143" w:rsidR="00EC608F" w:rsidRPr="00AA0543" w:rsidRDefault="00EC608F" w:rsidP="0018433B">
      <w:pPr>
        <w:pStyle w:val="FootnoteText"/>
        <w:jc w:val="both"/>
        <w:rPr>
          <w:rStyle w:val="FootnoteReference"/>
          <w:rFonts w:ascii="Times New Roman" w:hAnsi="Times New Roman"/>
          <w:sz w:val="16"/>
          <w:szCs w:val="16"/>
        </w:rPr>
      </w:pPr>
      <w:r w:rsidRPr="0053147F">
        <w:rPr>
          <w:rStyle w:val="FootnoteReference"/>
          <w:rFonts w:ascii="Times New Roman" w:hAnsi="Times New Roman"/>
          <w:sz w:val="16"/>
          <w:szCs w:val="16"/>
        </w:rPr>
        <w:footnoteRef/>
      </w:r>
      <w:r w:rsidRPr="002075ED">
        <w:rPr>
          <w:rStyle w:val="FootnoteReference"/>
          <w:rFonts w:ascii="Times New Roman" w:hAnsi="Times New Roman"/>
          <w:sz w:val="16"/>
          <w:szCs w:val="16"/>
        </w:rPr>
        <w:t xml:space="preserve"> </w:t>
      </w:r>
      <w:r w:rsidRPr="002075ED">
        <w:rPr>
          <w:rStyle w:val="FootnoteReference"/>
          <w:rFonts w:ascii="Times New Roman" w:hAnsi="Times New Roman"/>
          <w:sz w:val="16"/>
          <w:szCs w:val="16"/>
          <w:vertAlign w:val="baseline"/>
        </w:rPr>
        <w:t>EU progress report 2</w:t>
      </w:r>
      <w:r w:rsidRPr="00AA0543">
        <w:rPr>
          <w:rFonts w:ascii="Times New Roman" w:hAnsi="Times New Roman"/>
          <w:sz w:val="16"/>
          <w:szCs w:val="16"/>
        </w:rPr>
        <w:t>015</w:t>
      </w:r>
      <w:r>
        <w:rPr>
          <w:rFonts w:ascii="Times New Roman" w:hAnsi="Times New Roman"/>
          <w:sz w:val="16"/>
          <w:szCs w:val="16"/>
        </w:rPr>
        <w:t>.</w:t>
      </w:r>
      <w:r w:rsidRPr="00AA0543">
        <w:rPr>
          <w:rFonts w:ascii="Times New Roman" w:hAnsi="Times New Roman"/>
          <w:sz w:val="16"/>
          <w:szCs w:val="16"/>
        </w:rPr>
        <w:t xml:space="preserve"> </w:t>
      </w:r>
    </w:p>
  </w:footnote>
  <w:footnote w:id="11">
    <w:p w14:paraId="354AC00A" w14:textId="2798199C"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Employment and Social Reform Programme (ESRP) 2015-2020</w:t>
      </w:r>
      <w:r>
        <w:rPr>
          <w:rFonts w:ascii="Times New Roman" w:hAnsi="Times New Roman"/>
          <w:sz w:val="16"/>
          <w:szCs w:val="16"/>
        </w:rPr>
        <w:t>.</w:t>
      </w:r>
    </w:p>
  </w:footnote>
  <w:footnote w:id="12">
    <w:p w14:paraId="0FB6023F" w14:textId="48B51BD9"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Labour Force Survey, MONSTAT 2015</w:t>
      </w:r>
      <w:r>
        <w:rPr>
          <w:rFonts w:ascii="Times New Roman" w:hAnsi="Times New Roman"/>
          <w:sz w:val="16"/>
          <w:szCs w:val="16"/>
        </w:rPr>
        <w:t>.</w:t>
      </w:r>
    </w:p>
  </w:footnote>
  <w:footnote w:id="13">
    <w:p w14:paraId="5480F0B8" w14:textId="111B4686"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2016 N</w:t>
      </w:r>
      <w:r>
        <w:rPr>
          <w:rFonts w:ascii="Times New Roman" w:hAnsi="Times New Roman"/>
          <w:sz w:val="16"/>
          <w:szCs w:val="16"/>
        </w:rPr>
        <w:t>ational Human Development Report</w:t>
      </w:r>
      <w:r w:rsidRPr="00AA0543">
        <w:rPr>
          <w:rFonts w:ascii="Times New Roman" w:hAnsi="Times New Roman"/>
          <w:sz w:val="16"/>
          <w:szCs w:val="16"/>
        </w:rPr>
        <w:t xml:space="preserve"> on informal economy</w:t>
      </w:r>
      <w:r>
        <w:rPr>
          <w:rFonts w:ascii="Times New Roman" w:hAnsi="Times New Roman"/>
          <w:sz w:val="16"/>
          <w:szCs w:val="16"/>
        </w:rPr>
        <w:t>,</w:t>
      </w:r>
      <w:r w:rsidRPr="00AA0543">
        <w:rPr>
          <w:rFonts w:ascii="Times New Roman" w:hAnsi="Times New Roman"/>
          <w:sz w:val="16"/>
          <w:szCs w:val="16"/>
        </w:rPr>
        <w:t xml:space="preserve"> UNDP</w:t>
      </w:r>
      <w:r>
        <w:rPr>
          <w:rFonts w:ascii="Times New Roman" w:hAnsi="Times New Roman"/>
          <w:sz w:val="16"/>
          <w:szCs w:val="16"/>
        </w:rPr>
        <w:t>.</w:t>
      </w:r>
      <w:r w:rsidRPr="00AA0543">
        <w:rPr>
          <w:rFonts w:ascii="Times New Roman" w:hAnsi="Times New Roman"/>
          <w:sz w:val="16"/>
          <w:szCs w:val="16"/>
        </w:rPr>
        <w:t xml:space="preserve"> </w:t>
      </w:r>
    </w:p>
  </w:footnote>
  <w:footnote w:id="14">
    <w:p w14:paraId="719FA7C5" w14:textId="638A1199" w:rsidR="00EC608F" w:rsidRPr="00AA0543" w:rsidRDefault="00EC608F" w:rsidP="0018433B">
      <w:pPr>
        <w:pStyle w:val="FootnoteText"/>
        <w:jc w:val="both"/>
        <w:rPr>
          <w:rFonts w:ascii="Times New Roman" w:hAnsi="Times New Roman"/>
          <w:sz w:val="16"/>
          <w:szCs w:val="16"/>
        </w:rPr>
      </w:pPr>
      <w:r w:rsidRPr="00AA0543">
        <w:rPr>
          <w:rStyle w:val="FootnoteReference"/>
          <w:rFonts w:ascii="Times New Roman" w:hAnsi="Times New Roman"/>
          <w:sz w:val="16"/>
          <w:szCs w:val="16"/>
        </w:rPr>
        <w:footnoteRef/>
      </w:r>
      <w:r w:rsidRPr="00AA0543">
        <w:rPr>
          <w:rFonts w:ascii="Times New Roman" w:hAnsi="Times New Roman"/>
          <w:sz w:val="16"/>
          <w:szCs w:val="16"/>
        </w:rPr>
        <w:t xml:space="preserve"> EC Indicative Strategy Paper 2014-2020</w:t>
      </w:r>
      <w:r>
        <w:rPr>
          <w:rFonts w:ascii="Times New Roman" w:hAnsi="Times New Roman"/>
          <w:sz w:val="16"/>
          <w:szCs w:val="16"/>
        </w:rPr>
        <w:t>.</w:t>
      </w:r>
    </w:p>
  </w:footnote>
  <w:footnote w:id="15">
    <w:p w14:paraId="14F4241C" w14:textId="5E6D35C7" w:rsidR="00EC608F" w:rsidRPr="008949EF" w:rsidRDefault="00EC608F" w:rsidP="0018433B">
      <w:pPr>
        <w:pStyle w:val="FootnoteText"/>
        <w:jc w:val="both"/>
        <w:rPr>
          <w:rFonts w:ascii="Times New Roman" w:hAnsi="Times New Roman"/>
          <w:sz w:val="16"/>
          <w:szCs w:val="16"/>
        </w:rPr>
      </w:pPr>
      <w:r w:rsidRPr="008949EF">
        <w:rPr>
          <w:rStyle w:val="FootnoteReference"/>
          <w:rFonts w:ascii="Times New Roman" w:hAnsi="Times New Roman"/>
          <w:sz w:val="16"/>
          <w:szCs w:val="16"/>
        </w:rPr>
        <w:footnoteRef/>
      </w:r>
      <w:r w:rsidRPr="008949EF">
        <w:rPr>
          <w:rFonts w:ascii="Times New Roman" w:hAnsi="Times New Roman"/>
          <w:sz w:val="16"/>
          <w:szCs w:val="16"/>
        </w:rPr>
        <w:t xml:space="preserve"> Public Administration Strategy 2016-2020</w:t>
      </w:r>
      <w:r>
        <w:rPr>
          <w:rFonts w:ascii="Times New Roman" w:hAnsi="Times New Roman"/>
          <w:sz w:val="16"/>
          <w:szCs w:val="16"/>
        </w:rPr>
        <w:t>.</w:t>
      </w:r>
    </w:p>
  </w:footnote>
  <w:footnote w:id="16">
    <w:p w14:paraId="39C1CA3A" w14:textId="7318F95D" w:rsidR="00EC608F" w:rsidRPr="009C26A0" w:rsidRDefault="00EC608F" w:rsidP="00794F95">
      <w:pPr>
        <w:pStyle w:val="FootnoteText"/>
        <w:rPr>
          <w:rFonts w:ascii="Times New Roman" w:hAnsi="Times New Roman"/>
          <w:sz w:val="16"/>
          <w:szCs w:val="16"/>
        </w:rPr>
      </w:pPr>
      <w:r w:rsidRPr="00067847">
        <w:rPr>
          <w:rStyle w:val="FootnoteReference"/>
          <w:rFonts w:ascii="Times New Roman" w:hAnsi="Times New Roman"/>
          <w:sz w:val="16"/>
          <w:szCs w:val="16"/>
        </w:rPr>
        <w:footnoteRef/>
      </w:r>
      <w:r w:rsidRPr="00067847">
        <w:rPr>
          <w:rFonts w:ascii="Times New Roman" w:hAnsi="Times New Roman"/>
          <w:sz w:val="16"/>
          <w:szCs w:val="16"/>
        </w:rPr>
        <w:t xml:space="preserve"> </w:t>
      </w:r>
      <w:r w:rsidRPr="009C26A0">
        <w:rPr>
          <w:rFonts w:ascii="Times New Roman" w:hAnsi="Times New Roman"/>
          <w:sz w:val="16"/>
          <w:szCs w:val="16"/>
        </w:rPr>
        <w:t>Concluding Observations of the 50th session of the Committee on the Elimination of Discrimination against Women, October 2011.</w:t>
      </w:r>
    </w:p>
  </w:footnote>
  <w:footnote w:id="17">
    <w:p w14:paraId="7519FD3E" w14:textId="46968472" w:rsidR="00EC608F" w:rsidRPr="009C26A0" w:rsidRDefault="00EC608F" w:rsidP="00AA7688">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UNDP survey on violence in family 2012.</w:t>
      </w:r>
    </w:p>
  </w:footnote>
  <w:footnote w:id="18">
    <w:p w14:paraId="011520C6" w14:textId="20236883" w:rsidR="00EC608F" w:rsidRPr="009C26A0" w:rsidRDefault="00EC608F" w:rsidP="00AA7688">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Number of reported cases in 2014 was 1,347 (SOS Helpline). </w:t>
      </w:r>
    </w:p>
  </w:footnote>
  <w:footnote w:id="19">
    <w:p w14:paraId="74A7A9C4" w14:textId="1E68BBD7" w:rsidR="00EC608F" w:rsidRPr="009C26A0" w:rsidRDefault="00EC608F" w:rsidP="00794F95">
      <w:pPr>
        <w:pStyle w:val="FootnoteText"/>
        <w:rPr>
          <w:sz w:val="16"/>
          <w:szCs w:val="16"/>
        </w:rPr>
      </w:pPr>
      <w:r w:rsidRPr="009C26A0">
        <w:rPr>
          <w:rStyle w:val="FootnoteReference"/>
          <w:rFonts w:ascii="Times New Roman" w:hAnsi="Times New Roman"/>
          <w:sz w:val="16"/>
          <w:szCs w:val="16"/>
        </w:rPr>
        <w:footnoteRef/>
      </w:r>
      <w:r>
        <w:rPr>
          <w:sz w:val="16"/>
          <w:szCs w:val="16"/>
        </w:rPr>
        <w:t xml:space="preserve"> </w:t>
      </w:r>
      <w:r w:rsidRPr="009C26A0">
        <w:rPr>
          <w:rFonts w:ascii="Times New Roman" w:hAnsi="Times New Roman"/>
          <w:sz w:val="16"/>
          <w:szCs w:val="16"/>
        </w:rPr>
        <w:t>EU Progress Report for Montenegro, 2015.</w:t>
      </w:r>
    </w:p>
  </w:footnote>
  <w:footnote w:id="20">
    <w:p w14:paraId="2296F91D" w14:textId="161252AA" w:rsidR="00EC608F" w:rsidRPr="009C26A0" w:rsidRDefault="00EC608F" w:rsidP="00AA7688">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Montenegro Constitution, Parliament of Montenegro, 2006.</w:t>
      </w:r>
    </w:p>
  </w:footnote>
  <w:footnote w:id="21">
    <w:p w14:paraId="14DF9552" w14:textId="6182BF8B" w:rsidR="00EC608F" w:rsidRPr="009C26A0" w:rsidRDefault="00EC608F" w:rsidP="00AA7688">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Report on National Post</w:t>
      </w:r>
      <w:r>
        <w:rPr>
          <w:rFonts w:ascii="Times New Roman" w:hAnsi="Times New Roman"/>
          <w:sz w:val="16"/>
          <w:szCs w:val="16"/>
        </w:rPr>
        <w:t>-</w:t>
      </w:r>
      <w:r w:rsidRPr="009C26A0">
        <w:rPr>
          <w:rFonts w:ascii="Times New Roman" w:hAnsi="Times New Roman"/>
          <w:sz w:val="16"/>
          <w:szCs w:val="16"/>
        </w:rPr>
        <w:t>2015 consultations, U</w:t>
      </w:r>
      <w:r>
        <w:rPr>
          <w:rFonts w:ascii="Times New Roman" w:hAnsi="Times New Roman"/>
          <w:sz w:val="16"/>
          <w:szCs w:val="16"/>
        </w:rPr>
        <w:t xml:space="preserve">nited </w:t>
      </w:r>
      <w:r w:rsidRPr="009C26A0">
        <w:rPr>
          <w:rFonts w:ascii="Times New Roman" w:hAnsi="Times New Roman"/>
          <w:sz w:val="16"/>
          <w:szCs w:val="16"/>
        </w:rPr>
        <w:t>N</w:t>
      </w:r>
      <w:r>
        <w:rPr>
          <w:rFonts w:ascii="Times New Roman" w:hAnsi="Times New Roman"/>
          <w:sz w:val="16"/>
          <w:szCs w:val="16"/>
        </w:rPr>
        <w:t>ations</w:t>
      </w:r>
      <w:r w:rsidRPr="009C26A0">
        <w:rPr>
          <w:rFonts w:ascii="Times New Roman" w:hAnsi="Times New Roman"/>
          <w:sz w:val="16"/>
          <w:szCs w:val="16"/>
        </w:rPr>
        <w:t xml:space="preserve"> Montenegro, 2013</w:t>
      </w:r>
    </w:p>
  </w:footnote>
  <w:footnote w:id="22">
    <w:p w14:paraId="4D69A9ED" w14:textId="2DDA69DB" w:rsidR="00EC608F" w:rsidRPr="009C26A0" w:rsidRDefault="00EC608F" w:rsidP="00794F95">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2012-2016 UNDAF External Evaluation, June 2015. </w:t>
      </w:r>
    </w:p>
  </w:footnote>
  <w:footnote w:id="23">
    <w:p w14:paraId="60702A37" w14:textId="2F1BB700" w:rsidR="00EC608F" w:rsidRPr="009C26A0" w:rsidRDefault="00EC608F" w:rsidP="00AA7688">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Menon-Sen, K, ‘Gender Equality Seal Mission Report’, December 2015. </w:t>
      </w:r>
    </w:p>
  </w:footnote>
  <w:footnote w:id="24">
    <w:p w14:paraId="4A1063BF" w14:textId="4FA549E2" w:rsidR="00EC608F" w:rsidRPr="009C26A0" w:rsidRDefault="00EC608F" w:rsidP="00AA7688">
      <w:pPr>
        <w:pStyle w:val="FootnoteText"/>
        <w:rPr>
          <w:rFonts w:ascii="Times New Roman" w:hAnsi="Times New Roman"/>
          <w:sz w:val="16"/>
          <w:szCs w:val="16"/>
        </w:rPr>
      </w:pPr>
      <w:r w:rsidRPr="009C26A0">
        <w:rPr>
          <w:rStyle w:val="FootnoteReference"/>
          <w:rFonts w:ascii="Times New Roman" w:hAnsi="Times New Roman"/>
          <w:sz w:val="16"/>
          <w:szCs w:val="16"/>
        </w:rPr>
        <w:footnoteRef/>
      </w:r>
      <w:r w:rsidRPr="009C26A0">
        <w:rPr>
          <w:rFonts w:ascii="Times New Roman" w:hAnsi="Times New Roman"/>
          <w:sz w:val="16"/>
          <w:szCs w:val="16"/>
        </w:rPr>
        <w:t xml:space="preserve"> From the UNDP-supported introduction of SOS Helpline in September 2015 until March 2016, the number of reported cases increased by 50%.</w:t>
      </w:r>
    </w:p>
  </w:footnote>
  <w:footnote w:id="25">
    <w:p w14:paraId="6BFCF55E" w14:textId="13103227" w:rsidR="00EC608F" w:rsidRDefault="00EC608F" w:rsidP="00E26669">
      <w:pPr>
        <w:pStyle w:val="FootnoteText"/>
      </w:pPr>
      <w:r w:rsidRPr="00C20B73">
        <w:rPr>
          <w:rStyle w:val="FootnoteReference"/>
          <w:rFonts w:ascii="Times New Roman" w:hAnsi="Times New Roman"/>
          <w:sz w:val="16"/>
          <w:szCs w:val="16"/>
        </w:rPr>
        <w:footnoteRef/>
      </w:r>
      <w:r w:rsidRPr="00C20B73">
        <w:rPr>
          <w:rFonts w:ascii="Times New Roman" w:hAnsi="Times New Roman"/>
          <w:sz w:val="16"/>
          <w:szCs w:val="16"/>
        </w:rPr>
        <w:t xml:space="preserve"> More than 12,000 citizens </w:t>
      </w:r>
      <w:r>
        <w:rPr>
          <w:rFonts w:ascii="Times New Roman" w:hAnsi="Times New Roman"/>
          <w:sz w:val="16"/>
          <w:szCs w:val="16"/>
        </w:rPr>
        <w:t xml:space="preserve">participated </w:t>
      </w:r>
      <w:r w:rsidRPr="00C20B73">
        <w:rPr>
          <w:rFonts w:ascii="Times New Roman" w:hAnsi="Times New Roman"/>
          <w:sz w:val="16"/>
          <w:szCs w:val="16"/>
        </w:rPr>
        <w:t>in two rounds of post</w:t>
      </w:r>
      <w:r>
        <w:rPr>
          <w:rFonts w:ascii="Times New Roman" w:hAnsi="Times New Roman"/>
          <w:sz w:val="16"/>
          <w:szCs w:val="16"/>
        </w:rPr>
        <w:t>-</w:t>
      </w:r>
      <w:r w:rsidRPr="00C20B73">
        <w:rPr>
          <w:rFonts w:ascii="Times New Roman" w:hAnsi="Times New Roman"/>
          <w:sz w:val="16"/>
          <w:szCs w:val="16"/>
        </w:rPr>
        <w:t xml:space="preserve">2015 </w:t>
      </w:r>
      <w:r>
        <w:rPr>
          <w:rFonts w:ascii="Times New Roman" w:hAnsi="Times New Roman"/>
          <w:sz w:val="16"/>
          <w:szCs w:val="16"/>
        </w:rPr>
        <w:t>c</w:t>
      </w:r>
      <w:r w:rsidRPr="00C20B73">
        <w:rPr>
          <w:rFonts w:ascii="Times New Roman" w:hAnsi="Times New Roman"/>
          <w:sz w:val="16"/>
          <w:szCs w:val="16"/>
        </w:rPr>
        <w:t>onsultations</w:t>
      </w:r>
      <w:r>
        <w:rPr>
          <w:rFonts w:ascii="Times New Roman" w:hAnsi="Times New Roman"/>
          <w:sz w:val="16"/>
          <w:szCs w:val="16"/>
        </w:rPr>
        <w:t>.</w:t>
      </w:r>
      <w:r>
        <w:t xml:space="preserve"> </w:t>
      </w:r>
    </w:p>
  </w:footnote>
  <w:footnote w:id="26">
    <w:p w14:paraId="52B35BCE" w14:textId="10D09730" w:rsidR="00EC608F" w:rsidRPr="00BD61E0" w:rsidRDefault="00EC608F">
      <w:pPr>
        <w:pStyle w:val="FootnoteText"/>
        <w:rPr>
          <w:rFonts w:ascii="Times New Roman" w:hAnsi="Times New Roman"/>
          <w:sz w:val="16"/>
          <w:szCs w:val="16"/>
        </w:rPr>
      </w:pPr>
      <w:r w:rsidRPr="00BD61E0">
        <w:rPr>
          <w:rStyle w:val="FootnoteReference"/>
          <w:rFonts w:ascii="Times New Roman" w:hAnsi="Times New Roman"/>
          <w:sz w:val="16"/>
          <w:szCs w:val="16"/>
        </w:rPr>
        <w:footnoteRef/>
      </w:r>
      <w:r w:rsidRPr="00BD61E0">
        <w:rPr>
          <w:rFonts w:ascii="Times New Roman" w:hAnsi="Times New Roman"/>
          <w:sz w:val="16"/>
          <w:szCs w:val="16"/>
        </w:rPr>
        <w:t xml:space="preserve"> </w:t>
      </w:r>
      <w:r>
        <w:rPr>
          <w:rFonts w:ascii="Times New Roman" w:hAnsi="Times New Roman"/>
          <w:sz w:val="16"/>
          <w:szCs w:val="16"/>
        </w:rPr>
        <w:t xml:space="preserve">The </w:t>
      </w:r>
      <w:r w:rsidRPr="00BD61E0">
        <w:rPr>
          <w:rFonts w:ascii="Times New Roman" w:hAnsi="Times New Roman"/>
          <w:sz w:val="16"/>
          <w:szCs w:val="16"/>
        </w:rPr>
        <w:t xml:space="preserve">Montenegro Demilitarization Programme and Small Arms and Light Weapons </w:t>
      </w:r>
      <w:r>
        <w:rPr>
          <w:rFonts w:ascii="Times New Roman" w:hAnsi="Times New Roman"/>
          <w:sz w:val="16"/>
          <w:szCs w:val="16"/>
        </w:rPr>
        <w:t>P</w:t>
      </w:r>
      <w:r w:rsidRPr="00BD61E0">
        <w:rPr>
          <w:rFonts w:ascii="Times New Roman" w:hAnsi="Times New Roman"/>
          <w:sz w:val="16"/>
          <w:szCs w:val="16"/>
        </w:rPr>
        <w:t xml:space="preserve">rogramme. </w:t>
      </w:r>
    </w:p>
  </w:footnote>
  <w:footnote w:id="27">
    <w:p w14:paraId="17C65266" w14:textId="503C80C3" w:rsidR="00EC608F" w:rsidRPr="00E51FE6" w:rsidRDefault="00EC608F" w:rsidP="0026455B">
      <w:pPr>
        <w:pStyle w:val="FootnoteText"/>
        <w:rPr>
          <w:rFonts w:ascii="Times New Roman" w:hAnsi="Times New Roman"/>
          <w:sz w:val="16"/>
          <w:szCs w:val="16"/>
        </w:rPr>
      </w:pPr>
      <w:r w:rsidRPr="003F2C03">
        <w:rPr>
          <w:rStyle w:val="FootnoteReference"/>
          <w:rFonts w:ascii="Times New Roman" w:hAnsi="Times New Roman"/>
          <w:sz w:val="16"/>
          <w:szCs w:val="16"/>
        </w:rPr>
        <w:footnoteRef/>
      </w:r>
      <w:r w:rsidRPr="003F2C03">
        <w:rPr>
          <w:rFonts w:ascii="Times New Roman" w:hAnsi="Times New Roman"/>
          <w:sz w:val="16"/>
          <w:szCs w:val="16"/>
        </w:rPr>
        <w:t xml:space="preserve"> </w:t>
      </w:r>
      <w:r w:rsidRPr="003F2C03">
        <w:rPr>
          <w:rFonts w:ascii="Times New Roman" w:hAnsi="Times New Roman"/>
          <w:sz w:val="16"/>
          <w:szCs w:val="16"/>
          <w:lang w:val="uz-Cyrl-UZ"/>
        </w:rPr>
        <w:t>The indicator will be disaggregated by sex</w:t>
      </w:r>
      <w:r w:rsidRPr="003F2C03">
        <w:rPr>
          <w:rFonts w:ascii="Times New Roman" w:hAnsi="Times New Roman"/>
          <w:sz w:val="16"/>
          <w:szCs w:val="16"/>
        </w:rPr>
        <w:t xml:space="preserve"> and age</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7F71" w14:textId="68FE53FB" w:rsidR="00EC608F" w:rsidRDefault="00EC608F">
    <w:pPr>
      <w:pStyle w:val="Header"/>
      <w:jc w:val="right"/>
    </w:pPr>
  </w:p>
  <w:tbl>
    <w:tblPr>
      <w:tblW w:w="9871" w:type="dxa"/>
      <w:tblInd w:w="-78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C608F" w:rsidRPr="000C45A0" w14:paraId="45F2B524" w14:textId="77777777" w:rsidTr="00F66191">
      <w:trPr>
        <w:trHeight w:hRule="exact" w:val="864"/>
      </w:trPr>
      <w:tc>
        <w:tcPr>
          <w:tcW w:w="4838" w:type="dxa"/>
          <w:shd w:val="clear" w:color="auto" w:fill="auto"/>
          <w:vAlign w:val="bottom"/>
        </w:tcPr>
        <w:p w14:paraId="5D63ED16" w14:textId="6E9CFFEA" w:rsidR="00EC608F" w:rsidRPr="000C45A0" w:rsidRDefault="00EC608F" w:rsidP="000C45A0">
          <w:pPr>
            <w:tabs>
              <w:tab w:val="center" w:pos="4320"/>
              <w:tab w:val="right" w:pos="8640"/>
            </w:tabs>
            <w:spacing w:after="80"/>
            <w:rPr>
              <w:b/>
              <w:noProof/>
              <w:sz w:val="17"/>
            </w:rPr>
          </w:pPr>
          <w:r w:rsidRPr="000C45A0">
            <w:rPr>
              <w:b/>
              <w:noProof/>
              <w:sz w:val="17"/>
            </w:rPr>
            <w:t>DP/DCP/</w:t>
          </w:r>
          <w:r>
            <w:rPr>
              <w:b/>
              <w:noProof/>
              <w:sz w:val="17"/>
            </w:rPr>
            <w:t>MNE/2</w:t>
          </w:r>
        </w:p>
      </w:tc>
      <w:tc>
        <w:tcPr>
          <w:tcW w:w="5033" w:type="dxa"/>
          <w:shd w:val="clear" w:color="auto" w:fill="auto"/>
          <w:vAlign w:val="bottom"/>
        </w:tcPr>
        <w:p w14:paraId="5D8B596E" w14:textId="77777777" w:rsidR="00EC608F" w:rsidRPr="000C45A0" w:rsidRDefault="00EC608F" w:rsidP="000C45A0">
          <w:pPr>
            <w:tabs>
              <w:tab w:val="center" w:pos="4320"/>
              <w:tab w:val="right" w:pos="8640"/>
            </w:tabs>
            <w:jc w:val="right"/>
            <w:rPr>
              <w:noProof/>
              <w:sz w:val="17"/>
            </w:rPr>
          </w:pPr>
        </w:p>
      </w:tc>
    </w:tr>
  </w:tbl>
  <w:p w14:paraId="6168C1C8" w14:textId="261A58E7" w:rsidR="00EC608F" w:rsidRPr="000C45A0" w:rsidRDefault="00EC608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05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C608F" w:rsidRPr="000C45A0" w14:paraId="77B0578E" w14:textId="77777777" w:rsidTr="00027DD9">
      <w:trPr>
        <w:trHeight w:hRule="exact" w:val="864"/>
      </w:trPr>
      <w:tc>
        <w:tcPr>
          <w:tcW w:w="4838" w:type="dxa"/>
          <w:shd w:val="clear" w:color="auto" w:fill="auto"/>
          <w:vAlign w:val="bottom"/>
        </w:tcPr>
        <w:p w14:paraId="72C92CA2" w14:textId="77777777" w:rsidR="00EC608F" w:rsidRPr="000C45A0" w:rsidRDefault="00EC608F" w:rsidP="000C45A0">
          <w:pPr>
            <w:tabs>
              <w:tab w:val="center" w:pos="4320"/>
              <w:tab w:val="right" w:pos="8640"/>
            </w:tabs>
            <w:spacing w:after="80"/>
            <w:rPr>
              <w:b/>
              <w:noProof/>
              <w:sz w:val="17"/>
            </w:rPr>
          </w:pPr>
        </w:p>
      </w:tc>
      <w:tc>
        <w:tcPr>
          <w:tcW w:w="5033" w:type="dxa"/>
          <w:shd w:val="clear" w:color="auto" w:fill="auto"/>
          <w:vAlign w:val="bottom"/>
        </w:tcPr>
        <w:p w14:paraId="2AC23678" w14:textId="1B8E24EF" w:rsidR="00EC608F" w:rsidRPr="000C45A0" w:rsidRDefault="00EC608F" w:rsidP="000C45A0">
          <w:pPr>
            <w:tabs>
              <w:tab w:val="center" w:pos="4320"/>
              <w:tab w:val="right" w:pos="8640"/>
            </w:tabs>
            <w:jc w:val="right"/>
            <w:rPr>
              <w:b/>
              <w:noProof/>
              <w:sz w:val="17"/>
            </w:rPr>
          </w:pPr>
          <w:r>
            <w:rPr>
              <w:b/>
              <w:noProof/>
              <w:sz w:val="17"/>
            </w:rPr>
            <w:t>DP/DCP/MNE</w:t>
          </w:r>
          <w:r w:rsidRPr="000C45A0">
            <w:rPr>
              <w:b/>
              <w:noProof/>
              <w:sz w:val="17"/>
            </w:rPr>
            <w:t>/</w:t>
          </w:r>
          <w:r>
            <w:rPr>
              <w:b/>
              <w:noProof/>
              <w:sz w:val="17"/>
            </w:rPr>
            <w:t>2</w:t>
          </w:r>
        </w:p>
      </w:tc>
    </w:tr>
  </w:tbl>
  <w:p w14:paraId="4A20B255" w14:textId="77777777" w:rsidR="00EC608F" w:rsidRPr="00C14C9C" w:rsidRDefault="00EC608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Ind w:w="-80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C608F" w:rsidRPr="000C45A0" w14:paraId="5B848896" w14:textId="77777777" w:rsidTr="00172FEE">
      <w:trPr>
        <w:trHeight w:hRule="exact" w:val="864"/>
      </w:trPr>
      <w:tc>
        <w:tcPr>
          <w:tcW w:w="1267" w:type="dxa"/>
          <w:tcBorders>
            <w:bottom w:val="single" w:sz="4" w:space="0" w:color="auto"/>
          </w:tcBorders>
          <w:shd w:val="clear" w:color="auto" w:fill="auto"/>
          <w:vAlign w:val="bottom"/>
        </w:tcPr>
        <w:p w14:paraId="30B4AD08" w14:textId="77777777" w:rsidR="00EC608F" w:rsidRPr="000C45A0" w:rsidRDefault="00EC608F" w:rsidP="000C45A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E5ED710" w14:textId="77777777" w:rsidR="00EC608F" w:rsidRPr="000C45A0" w:rsidRDefault="00EC608F" w:rsidP="000C45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0C45A0">
            <w:rPr>
              <w:spacing w:val="2"/>
              <w:w w:val="96"/>
              <w:kern w:val="14"/>
              <w:sz w:val="28"/>
              <w:lang w:val="en-GB"/>
            </w:rPr>
            <w:t>United Nations</w:t>
          </w:r>
        </w:p>
      </w:tc>
      <w:tc>
        <w:tcPr>
          <w:tcW w:w="245" w:type="dxa"/>
          <w:tcBorders>
            <w:bottom w:val="single" w:sz="4" w:space="0" w:color="auto"/>
          </w:tcBorders>
          <w:shd w:val="clear" w:color="auto" w:fill="auto"/>
          <w:vAlign w:val="bottom"/>
        </w:tcPr>
        <w:p w14:paraId="376D3B68" w14:textId="77777777" w:rsidR="00EC608F" w:rsidRPr="000C45A0" w:rsidRDefault="00EC608F" w:rsidP="000C45A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48CE044" w14:textId="6CE1012E" w:rsidR="00EC608F" w:rsidRPr="000C45A0" w:rsidRDefault="00EC608F" w:rsidP="000C45A0">
          <w:pPr>
            <w:suppressAutoHyphens/>
            <w:spacing w:after="80"/>
            <w:jc w:val="right"/>
            <w:rPr>
              <w:spacing w:val="4"/>
              <w:w w:val="103"/>
              <w:kern w:val="14"/>
              <w:position w:val="-4"/>
              <w:lang w:val="en-GB"/>
            </w:rPr>
          </w:pPr>
          <w:r w:rsidRPr="000C45A0">
            <w:rPr>
              <w:spacing w:val="4"/>
              <w:w w:val="103"/>
              <w:kern w:val="14"/>
              <w:position w:val="-4"/>
              <w:sz w:val="40"/>
              <w:lang w:val="en-GB"/>
            </w:rPr>
            <w:t>DP</w:t>
          </w:r>
          <w:r w:rsidRPr="000C45A0">
            <w:rPr>
              <w:spacing w:val="4"/>
              <w:w w:val="103"/>
              <w:kern w:val="14"/>
              <w:position w:val="-4"/>
              <w:lang w:val="en-GB"/>
            </w:rPr>
            <w:t>/DCP/</w:t>
          </w:r>
          <w:r>
            <w:rPr>
              <w:spacing w:val="4"/>
              <w:w w:val="103"/>
              <w:kern w:val="14"/>
              <w:position w:val="-4"/>
              <w:lang w:val="en-GB"/>
            </w:rPr>
            <w:t>MNE</w:t>
          </w:r>
          <w:r w:rsidRPr="000C45A0">
            <w:rPr>
              <w:spacing w:val="4"/>
              <w:w w:val="103"/>
              <w:kern w:val="14"/>
              <w:position w:val="-4"/>
              <w:lang w:val="en-GB"/>
            </w:rPr>
            <w:t>/</w:t>
          </w:r>
          <w:r>
            <w:rPr>
              <w:spacing w:val="4"/>
              <w:w w:val="103"/>
              <w:kern w:val="14"/>
              <w:position w:val="-4"/>
              <w:lang w:val="en-GB"/>
            </w:rPr>
            <w:t>2</w:t>
          </w:r>
        </w:p>
      </w:tc>
    </w:tr>
    <w:tr w:rsidR="00EC608F" w:rsidRPr="000C45A0" w14:paraId="41D62967" w14:textId="77777777" w:rsidTr="00172FEE">
      <w:trPr>
        <w:gridAfter w:val="1"/>
        <w:wAfter w:w="28" w:type="dxa"/>
        <w:trHeight w:hRule="exact" w:val="2880"/>
      </w:trPr>
      <w:tc>
        <w:tcPr>
          <w:tcW w:w="1267" w:type="dxa"/>
          <w:tcBorders>
            <w:top w:val="single" w:sz="4" w:space="0" w:color="auto"/>
            <w:bottom w:val="single" w:sz="12" w:space="0" w:color="auto"/>
          </w:tcBorders>
          <w:shd w:val="clear" w:color="auto" w:fill="auto"/>
        </w:tcPr>
        <w:p w14:paraId="0678D450" w14:textId="77777777" w:rsidR="00EC608F" w:rsidRPr="000C45A0" w:rsidRDefault="00EC608F" w:rsidP="000C45A0">
          <w:pPr>
            <w:tabs>
              <w:tab w:val="center" w:pos="4320"/>
              <w:tab w:val="right" w:pos="8640"/>
            </w:tabs>
            <w:spacing w:before="109"/>
            <w:rPr>
              <w:noProof/>
              <w:sz w:val="17"/>
            </w:rPr>
          </w:pPr>
          <w:r w:rsidRPr="000C45A0">
            <w:rPr>
              <w:noProof/>
              <w:sz w:val="17"/>
            </w:rPr>
            <w:t xml:space="preserve"> </w:t>
          </w:r>
          <w:r w:rsidRPr="000C45A0">
            <w:rPr>
              <w:noProof/>
              <w:sz w:val="17"/>
            </w:rPr>
            <w:drawing>
              <wp:inline distT="0" distB="0" distL="0" distR="0" wp14:anchorId="4FFF35F9" wp14:editId="0CC67E55">
                <wp:extent cx="702945" cy="592455"/>
                <wp:effectExtent l="0" t="0" r="1905" b="0"/>
                <wp:docPr id="20" name="Picture 2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475B12A" w14:textId="77777777" w:rsidR="00EC608F" w:rsidRPr="000C45A0" w:rsidRDefault="00EC608F" w:rsidP="000C45A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21A89A1" w14:textId="77777777" w:rsidR="00EC608F" w:rsidRPr="000C45A0" w:rsidRDefault="00EC608F" w:rsidP="000C45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0C45A0">
            <w:rPr>
              <w:b/>
              <w:sz w:val="34"/>
            </w:rPr>
            <w:t>Executive Board of the</w:t>
          </w:r>
          <w:r w:rsidRPr="000C45A0">
            <w:rPr>
              <w:b/>
              <w:sz w:val="34"/>
            </w:rPr>
            <w:br/>
            <w:t>United Nations Development</w:t>
          </w:r>
          <w:r w:rsidRPr="000C45A0">
            <w:rPr>
              <w:b/>
              <w:sz w:val="34"/>
            </w:rPr>
            <w:br/>
            <w:t xml:space="preserve">Programme, the United Nations Population Fund and the </w:t>
          </w:r>
        </w:p>
        <w:p w14:paraId="1F1E9226" w14:textId="77777777" w:rsidR="00EC608F" w:rsidRPr="000C45A0" w:rsidRDefault="00EC608F" w:rsidP="000C45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0C45A0">
            <w:rPr>
              <w:b/>
              <w:sz w:val="34"/>
            </w:rPr>
            <w:t xml:space="preserve">United Nations Office for </w:t>
          </w:r>
        </w:p>
        <w:p w14:paraId="72D9792B" w14:textId="77777777" w:rsidR="00EC608F" w:rsidRPr="000C45A0" w:rsidRDefault="00EC608F" w:rsidP="000C45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0C45A0">
            <w:rPr>
              <w:b/>
              <w:sz w:val="34"/>
            </w:rPr>
            <w:t>Project Services</w:t>
          </w:r>
        </w:p>
      </w:tc>
      <w:tc>
        <w:tcPr>
          <w:tcW w:w="245" w:type="dxa"/>
          <w:tcBorders>
            <w:top w:val="single" w:sz="4" w:space="0" w:color="auto"/>
            <w:bottom w:val="single" w:sz="12" w:space="0" w:color="auto"/>
          </w:tcBorders>
          <w:shd w:val="clear" w:color="auto" w:fill="auto"/>
        </w:tcPr>
        <w:p w14:paraId="1C0A5DC2" w14:textId="77777777" w:rsidR="00EC608F" w:rsidRPr="000C45A0" w:rsidRDefault="00EC608F" w:rsidP="000C45A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BBAE1F" w14:textId="77777777" w:rsidR="00EC608F" w:rsidRPr="000C45A0" w:rsidRDefault="00EC608F" w:rsidP="000C45A0">
          <w:pPr>
            <w:suppressAutoHyphens/>
            <w:spacing w:before="240" w:line="240" w:lineRule="exact"/>
            <w:rPr>
              <w:spacing w:val="4"/>
              <w:w w:val="103"/>
              <w:kern w:val="14"/>
              <w:lang w:val="en-GB"/>
            </w:rPr>
          </w:pPr>
          <w:r w:rsidRPr="000C45A0">
            <w:rPr>
              <w:spacing w:val="4"/>
              <w:w w:val="103"/>
              <w:kern w:val="14"/>
              <w:lang w:val="en-GB"/>
            </w:rPr>
            <w:t>Distr.: General</w:t>
          </w:r>
        </w:p>
        <w:p w14:paraId="3F13C283" w14:textId="31F4C15F" w:rsidR="00EC608F" w:rsidRPr="000C45A0" w:rsidRDefault="00EC608F" w:rsidP="000C45A0">
          <w:pPr>
            <w:suppressAutoHyphens/>
            <w:spacing w:line="240" w:lineRule="exact"/>
            <w:rPr>
              <w:spacing w:val="4"/>
              <w:w w:val="103"/>
              <w:kern w:val="14"/>
              <w:lang w:val="en-GB"/>
            </w:rPr>
          </w:pPr>
          <w:r>
            <w:rPr>
              <w:spacing w:val="4"/>
              <w:w w:val="103"/>
              <w:kern w:val="14"/>
              <w:lang w:val="en-GB"/>
            </w:rPr>
            <w:t xml:space="preserve">13 </w:t>
          </w:r>
          <w:r w:rsidRPr="000C45A0">
            <w:rPr>
              <w:spacing w:val="4"/>
              <w:w w:val="103"/>
              <w:kern w:val="14"/>
              <w:lang w:val="en-GB"/>
            </w:rPr>
            <w:t>June 2016</w:t>
          </w:r>
        </w:p>
        <w:p w14:paraId="741A00F7" w14:textId="77777777" w:rsidR="00EC608F" w:rsidRPr="000C45A0" w:rsidRDefault="00EC608F" w:rsidP="000C45A0">
          <w:pPr>
            <w:suppressAutoHyphens/>
            <w:spacing w:line="240" w:lineRule="exact"/>
            <w:rPr>
              <w:spacing w:val="4"/>
              <w:w w:val="103"/>
              <w:kern w:val="14"/>
              <w:lang w:val="en-GB"/>
            </w:rPr>
          </w:pPr>
        </w:p>
        <w:p w14:paraId="24A3FAB8" w14:textId="77777777" w:rsidR="00EC608F" w:rsidRPr="000C45A0" w:rsidRDefault="00EC608F" w:rsidP="000C45A0">
          <w:pPr>
            <w:suppressAutoHyphens/>
            <w:spacing w:line="240" w:lineRule="exact"/>
            <w:rPr>
              <w:spacing w:val="4"/>
              <w:w w:val="103"/>
              <w:kern w:val="14"/>
              <w:lang w:val="en-GB"/>
            </w:rPr>
          </w:pPr>
          <w:r w:rsidRPr="000C45A0">
            <w:rPr>
              <w:spacing w:val="4"/>
              <w:w w:val="103"/>
              <w:kern w:val="14"/>
              <w:lang w:val="en-GB"/>
            </w:rPr>
            <w:t>Original: English</w:t>
          </w:r>
        </w:p>
      </w:tc>
    </w:tr>
  </w:tbl>
  <w:p w14:paraId="56146D6B" w14:textId="77777777" w:rsidR="00EC608F" w:rsidRPr="000C45A0" w:rsidRDefault="00EC608F">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1DD8" w14:textId="77777777" w:rsidR="00EC608F" w:rsidRDefault="00EC608F">
    <w:pPr>
      <w:pStyle w:val="Header"/>
      <w:jc w:val="right"/>
    </w:pPr>
  </w:p>
  <w:tbl>
    <w:tblPr>
      <w:tblW w:w="1313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92"/>
    </w:tblGrid>
    <w:tr w:rsidR="00EC608F" w:rsidRPr="000C45A0" w14:paraId="5AB2CD6D" w14:textId="77777777" w:rsidTr="005F172E">
      <w:trPr>
        <w:trHeight w:hRule="exact" w:val="864"/>
      </w:trPr>
      <w:tc>
        <w:tcPr>
          <w:tcW w:w="4838" w:type="dxa"/>
          <w:shd w:val="clear" w:color="auto" w:fill="auto"/>
          <w:vAlign w:val="bottom"/>
        </w:tcPr>
        <w:p w14:paraId="3F429A92" w14:textId="77777777" w:rsidR="00EC608F" w:rsidRPr="000C45A0" w:rsidRDefault="00EC608F" w:rsidP="000C45A0">
          <w:pPr>
            <w:tabs>
              <w:tab w:val="center" w:pos="4320"/>
              <w:tab w:val="right" w:pos="8640"/>
            </w:tabs>
            <w:spacing w:after="80"/>
            <w:rPr>
              <w:b/>
              <w:noProof/>
              <w:sz w:val="17"/>
            </w:rPr>
          </w:pPr>
          <w:r w:rsidRPr="000C45A0">
            <w:rPr>
              <w:b/>
              <w:noProof/>
              <w:sz w:val="17"/>
            </w:rPr>
            <w:t>DP/DCP/</w:t>
          </w:r>
          <w:r>
            <w:rPr>
              <w:b/>
              <w:noProof/>
              <w:sz w:val="17"/>
            </w:rPr>
            <w:t>MNE/2</w:t>
          </w:r>
        </w:p>
      </w:tc>
      <w:tc>
        <w:tcPr>
          <w:tcW w:w="8292" w:type="dxa"/>
          <w:shd w:val="clear" w:color="auto" w:fill="auto"/>
          <w:vAlign w:val="bottom"/>
        </w:tcPr>
        <w:p w14:paraId="7930A83B" w14:textId="77777777" w:rsidR="00EC608F" w:rsidRPr="000C45A0" w:rsidRDefault="00EC608F" w:rsidP="000C45A0">
          <w:pPr>
            <w:tabs>
              <w:tab w:val="center" w:pos="4320"/>
              <w:tab w:val="right" w:pos="8640"/>
            </w:tabs>
            <w:jc w:val="right"/>
            <w:rPr>
              <w:noProof/>
              <w:sz w:val="17"/>
            </w:rPr>
          </w:pPr>
        </w:p>
      </w:tc>
    </w:tr>
  </w:tbl>
  <w:p w14:paraId="187FC151" w14:textId="77777777" w:rsidR="00EC608F" w:rsidRPr="000C45A0" w:rsidRDefault="00EC608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05" w:type="dxa"/>
      <w:tblInd w:w="-255"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67"/>
    </w:tblGrid>
    <w:tr w:rsidR="00EC608F" w:rsidRPr="000C45A0" w14:paraId="796A93B4" w14:textId="77777777" w:rsidTr="00F66191">
      <w:trPr>
        <w:trHeight w:hRule="exact" w:val="864"/>
      </w:trPr>
      <w:tc>
        <w:tcPr>
          <w:tcW w:w="4838" w:type="dxa"/>
          <w:shd w:val="clear" w:color="auto" w:fill="auto"/>
          <w:vAlign w:val="bottom"/>
        </w:tcPr>
        <w:p w14:paraId="2290307A" w14:textId="77777777" w:rsidR="00EC608F" w:rsidRPr="000C45A0" w:rsidRDefault="00EC608F" w:rsidP="000C45A0">
          <w:pPr>
            <w:tabs>
              <w:tab w:val="center" w:pos="4320"/>
              <w:tab w:val="right" w:pos="8640"/>
            </w:tabs>
            <w:spacing w:after="80"/>
            <w:rPr>
              <w:b/>
              <w:noProof/>
              <w:sz w:val="17"/>
            </w:rPr>
          </w:pPr>
        </w:p>
      </w:tc>
      <w:tc>
        <w:tcPr>
          <w:tcW w:w="8467" w:type="dxa"/>
          <w:shd w:val="clear" w:color="auto" w:fill="auto"/>
          <w:vAlign w:val="bottom"/>
        </w:tcPr>
        <w:p w14:paraId="10A08713" w14:textId="77777777" w:rsidR="00EC608F" w:rsidRPr="000C45A0" w:rsidRDefault="00EC608F" w:rsidP="000C45A0">
          <w:pPr>
            <w:tabs>
              <w:tab w:val="center" w:pos="4320"/>
              <w:tab w:val="right" w:pos="8640"/>
            </w:tabs>
            <w:jc w:val="right"/>
            <w:rPr>
              <w:b/>
              <w:noProof/>
              <w:sz w:val="17"/>
            </w:rPr>
          </w:pPr>
          <w:r>
            <w:rPr>
              <w:b/>
              <w:noProof/>
              <w:sz w:val="17"/>
            </w:rPr>
            <w:t>DP/DCP/MNE</w:t>
          </w:r>
          <w:r w:rsidRPr="000C45A0">
            <w:rPr>
              <w:b/>
              <w:noProof/>
              <w:sz w:val="17"/>
            </w:rPr>
            <w:t>/</w:t>
          </w:r>
          <w:r>
            <w:rPr>
              <w:b/>
              <w:noProof/>
              <w:sz w:val="17"/>
            </w:rPr>
            <w:t>2</w:t>
          </w:r>
        </w:p>
      </w:tc>
    </w:tr>
  </w:tbl>
  <w:p w14:paraId="08B15C40" w14:textId="77777777" w:rsidR="00EC608F" w:rsidRPr="00C14C9C" w:rsidRDefault="00EC608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9B1"/>
    <w:multiLevelType w:val="hybridMultilevel"/>
    <w:tmpl w:val="BD8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B7F"/>
    <w:multiLevelType w:val="hybridMultilevel"/>
    <w:tmpl w:val="5B1A4B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41F89"/>
    <w:multiLevelType w:val="hybridMultilevel"/>
    <w:tmpl w:val="118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F73"/>
    <w:multiLevelType w:val="hybridMultilevel"/>
    <w:tmpl w:val="2CE6F5A0"/>
    <w:lvl w:ilvl="0" w:tplc="08D8A8F4">
      <w:start w:val="27"/>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974B4"/>
    <w:multiLevelType w:val="hybridMultilevel"/>
    <w:tmpl w:val="7430B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BF1A1C"/>
    <w:multiLevelType w:val="hybridMultilevel"/>
    <w:tmpl w:val="F57C4DDA"/>
    <w:lvl w:ilvl="0" w:tplc="90CEC306">
      <w:start w:val="1"/>
      <w:numFmt w:val="decimal"/>
      <w:lvlText w:val="%1."/>
      <w:lvlJc w:val="left"/>
      <w:pPr>
        <w:ind w:left="501" w:hanging="360"/>
      </w:pPr>
      <w:rPr>
        <w:rFonts w:hint="default"/>
      </w:rPr>
    </w:lvl>
    <w:lvl w:ilvl="1" w:tplc="359E5AF4">
      <w:start w:val="1"/>
      <w:numFmt w:val="lowerLetter"/>
      <w:lvlText w:val="(%2)"/>
      <w:lvlJc w:val="left"/>
      <w:pPr>
        <w:ind w:left="99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70453"/>
    <w:multiLevelType w:val="hybridMultilevel"/>
    <w:tmpl w:val="356A7326"/>
    <w:lvl w:ilvl="0" w:tplc="90CEC306">
      <w:start w:val="1"/>
      <w:numFmt w:val="decimal"/>
      <w:lvlText w:val="%1."/>
      <w:lvlJc w:val="left"/>
      <w:pPr>
        <w:ind w:left="501"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1AA"/>
    <w:multiLevelType w:val="hybridMultilevel"/>
    <w:tmpl w:val="1758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6D1D44"/>
    <w:multiLevelType w:val="hybridMultilevel"/>
    <w:tmpl w:val="62B2B09E"/>
    <w:lvl w:ilvl="0" w:tplc="90CEC306">
      <w:start w:val="1"/>
      <w:numFmt w:val="decimal"/>
      <w:lvlText w:val="%1."/>
      <w:lvlJc w:val="left"/>
      <w:pPr>
        <w:ind w:left="1494" w:hanging="360"/>
      </w:pPr>
      <w:rPr>
        <w:rFonts w:hint="default"/>
      </w:rPr>
    </w:lvl>
    <w:lvl w:ilvl="1" w:tplc="04090019">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0" w15:restartNumberingAfterBreak="0">
    <w:nsid w:val="20BD3B3D"/>
    <w:multiLevelType w:val="hybridMultilevel"/>
    <w:tmpl w:val="29E0DBEA"/>
    <w:lvl w:ilvl="0" w:tplc="951010AE">
      <w:start w:val="2"/>
      <w:numFmt w:val="bullet"/>
      <w:lvlText w:val="-"/>
      <w:lvlJc w:val="left"/>
      <w:pPr>
        <w:ind w:left="35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1" w15:restartNumberingAfterBreak="0">
    <w:nsid w:val="21DF204D"/>
    <w:multiLevelType w:val="hybridMultilevel"/>
    <w:tmpl w:val="F6689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C585D"/>
    <w:multiLevelType w:val="hybridMultilevel"/>
    <w:tmpl w:val="287EDE0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57031E"/>
    <w:multiLevelType w:val="hybridMultilevel"/>
    <w:tmpl w:val="ADB43D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3A7267"/>
    <w:multiLevelType w:val="hybridMultilevel"/>
    <w:tmpl w:val="F788CF0E"/>
    <w:lvl w:ilvl="0" w:tplc="24228496">
      <w:start w:val="2"/>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28C140AC"/>
    <w:multiLevelType w:val="hybridMultilevel"/>
    <w:tmpl w:val="8360885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27491C"/>
    <w:multiLevelType w:val="hybridMultilevel"/>
    <w:tmpl w:val="D276B9C8"/>
    <w:lvl w:ilvl="0" w:tplc="7720A7B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D430B6"/>
    <w:multiLevelType w:val="hybridMultilevel"/>
    <w:tmpl w:val="EC8A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910CB"/>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9" w15:restartNumberingAfterBreak="0">
    <w:nsid w:val="34764DFC"/>
    <w:multiLevelType w:val="multilevel"/>
    <w:tmpl w:val="277AF3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4B005BD"/>
    <w:multiLevelType w:val="hybridMultilevel"/>
    <w:tmpl w:val="717A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8348F"/>
    <w:multiLevelType w:val="hybridMultilevel"/>
    <w:tmpl w:val="FA088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602D05"/>
    <w:multiLevelType w:val="hybridMultilevel"/>
    <w:tmpl w:val="EFC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724E6"/>
    <w:multiLevelType w:val="hybridMultilevel"/>
    <w:tmpl w:val="689C86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E5167"/>
    <w:multiLevelType w:val="hybridMultilevel"/>
    <w:tmpl w:val="6A8865F4"/>
    <w:lvl w:ilvl="0" w:tplc="90CEC306">
      <w:start w:val="1"/>
      <w:numFmt w:val="decimal"/>
      <w:lvlText w:val="%1."/>
      <w:lvlJc w:val="left"/>
      <w:pPr>
        <w:ind w:left="12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6" w15:restartNumberingAfterBreak="0">
    <w:nsid w:val="3F945CA8"/>
    <w:multiLevelType w:val="hybridMultilevel"/>
    <w:tmpl w:val="F5A8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00F88"/>
    <w:multiLevelType w:val="hybridMultilevel"/>
    <w:tmpl w:val="1ED6586E"/>
    <w:lvl w:ilvl="0" w:tplc="0409000F">
      <w:start w:val="7"/>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270EE"/>
    <w:multiLevelType w:val="hybridMultilevel"/>
    <w:tmpl w:val="205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47913"/>
    <w:multiLevelType w:val="hybridMultilevel"/>
    <w:tmpl w:val="332443CE"/>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30" w15:restartNumberingAfterBreak="0">
    <w:nsid w:val="46375E0F"/>
    <w:multiLevelType w:val="multilevel"/>
    <w:tmpl w:val="6B8898F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b w:val="0"/>
        <w:i w:val="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65F6703"/>
    <w:multiLevelType w:val="hybridMultilevel"/>
    <w:tmpl w:val="4AEE1C60"/>
    <w:lvl w:ilvl="0" w:tplc="7720A7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47FE4"/>
    <w:multiLevelType w:val="hybridMultilevel"/>
    <w:tmpl w:val="A288A956"/>
    <w:lvl w:ilvl="0" w:tplc="90CEC306">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F7796"/>
    <w:multiLevelType w:val="hybridMultilevel"/>
    <w:tmpl w:val="F3E08846"/>
    <w:lvl w:ilvl="0" w:tplc="66DEE52C">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4" w15:restartNumberingAfterBreak="0">
    <w:nsid w:val="4F680795"/>
    <w:multiLevelType w:val="hybridMultilevel"/>
    <w:tmpl w:val="2E44409E"/>
    <w:lvl w:ilvl="0" w:tplc="90CEC306">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53222"/>
    <w:multiLevelType w:val="hybridMultilevel"/>
    <w:tmpl w:val="5B1A4B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B7155"/>
    <w:multiLevelType w:val="hybridMultilevel"/>
    <w:tmpl w:val="2384C6EE"/>
    <w:lvl w:ilvl="0" w:tplc="775EF226">
      <w:start w:val="2"/>
      <w:numFmt w:val="bullet"/>
      <w:lvlText w:val="-"/>
      <w:lvlJc w:val="left"/>
      <w:pPr>
        <w:ind w:left="35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9" w15:restartNumberingAfterBreak="0">
    <w:nsid w:val="5CA86294"/>
    <w:multiLevelType w:val="hybridMultilevel"/>
    <w:tmpl w:val="3AB0F17A"/>
    <w:lvl w:ilvl="0" w:tplc="90CEC306">
      <w:start w:val="1"/>
      <w:numFmt w:val="decimal"/>
      <w:lvlText w:val="%1."/>
      <w:lvlJc w:val="left"/>
      <w:pPr>
        <w:ind w:left="1080" w:hanging="360"/>
      </w:pPr>
      <w:rPr>
        <w:rFonts w:hint="default"/>
      </w:rPr>
    </w:lvl>
    <w:lvl w:ilvl="1" w:tplc="04090019">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0" w15:restartNumberingAfterBreak="0">
    <w:nsid w:val="5D0E3085"/>
    <w:multiLevelType w:val="hybridMultilevel"/>
    <w:tmpl w:val="192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26BA7"/>
    <w:multiLevelType w:val="hybridMultilevel"/>
    <w:tmpl w:val="2E44409E"/>
    <w:lvl w:ilvl="0" w:tplc="90CEC306">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1264F3"/>
    <w:multiLevelType w:val="hybridMultilevel"/>
    <w:tmpl w:val="0ADE5B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21EA0"/>
    <w:multiLevelType w:val="hybridMultilevel"/>
    <w:tmpl w:val="24787F82"/>
    <w:lvl w:ilvl="0" w:tplc="66DEE5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981B9C"/>
    <w:multiLevelType w:val="hybridMultilevel"/>
    <w:tmpl w:val="EAB6DF02"/>
    <w:lvl w:ilvl="0" w:tplc="7720A7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3B3C4C"/>
    <w:multiLevelType w:val="hybridMultilevel"/>
    <w:tmpl w:val="755CD1E4"/>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5545F04"/>
    <w:multiLevelType w:val="multilevel"/>
    <w:tmpl w:val="EC8428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8" w15:restartNumberingAfterBreak="0">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92B26D4"/>
    <w:multiLevelType w:val="hybridMultilevel"/>
    <w:tmpl w:val="9FE455F2"/>
    <w:lvl w:ilvl="0" w:tplc="90CEC306">
      <w:start w:val="1"/>
      <w:numFmt w:val="decimal"/>
      <w:lvlText w:val="%1."/>
      <w:lvlJc w:val="left"/>
      <w:pPr>
        <w:ind w:left="501" w:hanging="360"/>
      </w:pPr>
      <w:rPr>
        <w:rFonts w:hint="default"/>
      </w:rPr>
    </w:lvl>
    <w:lvl w:ilvl="1" w:tplc="B17212F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142583"/>
    <w:multiLevelType w:val="hybridMultilevel"/>
    <w:tmpl w:val="31B2CB80"/>
    <w:lvl w:ilvl="0" w:tplc="D550DC5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7FD56A2B"/>
    <w:multiLevelType w:val="hybridMultilevel"/>
    <w:tmpl w:val="B9986C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45"/>
  </w:num>
  <w:num w:numId="4">
    <w:abstractNumId w:val="37"/>
  </w:num>
  <w:num w:numId="5">
    <w:abstractNumId w:val="46"/>
  </w:num>
  <w:num w:numId="6">
    <w:abstractNumId w:val="2"/>
  </w:num>
  <w:num w:numId="7">
    <w:abstractNumId w:val="19"/>
  </w:num>
  <w:num w:numId="8">
    <w:abstractNumId w:val="47"/>
  </w:num>
  <w:num w:numId="9">
    <w:abstractNumId w:val="29"/>
  </w:num>
  <w:num w:numId="10">
    <w:abstractNumId w:val="34"/>
  </w:num>
  <w:num w:numId="11">
    <w:abstractNumId w:val="1"/>
  </w:num>
  <w:num w:numId="12">
    <w:abstractNumId w:val="17"/>
  </w:num>
  <w:num w:numId="13">
    <w:abstractNumId w:val="42"/>
  </w:num>
  <w:num w:numId="14">
    <w:abstractNumId w:val="23"/>
  </w:num>
  <w:num w:numId="15">
    <w:abstractNumId w:val="11"/>
  </w:num>
  <w:num w:numId="16">
    <w:abstractNumId w:val="35"/>
  </w:num>
  <w:num w:numId="17">
    <w:abstractNumId w:val="39"/>
  </w:num>
  <w:num w:numId="18">
    <w:abstractNumId w:val="24"/>
  </w:num>
  <w:num w:numId="19">
    <w:abstractNumId w:val="18"/>
  </w:num>
  <w:num w:numId="20">
    <w:abstractNumId w:val="9"/>
  </w:num>
  <w:num w:numId="21">
    <w:abstractNumId w:val="7"/>
  </w:num>
  <w:num w:numId="22">
    <w:abstractNumId w:val="15"/>
  </w:num>
  <w:num w:numId="23">
    <w:abstractNumId w:val="12"/>
  </w:num>
  <w:num w:numId="24">
    <w:abstractNumId w:val="50"/>
  </w:num>
  <w:num w:numId="25">
    <w:abstractNumId w:val="13"/>
  </w:num>
  <w:num w:numId="26">
    <w:abstractNumId w:val="8"/>
  </w:num>
  <w:num w:numId="27">
    <w:abstractNumId w:val="5"/>
  </w:num>
  <w:num w:numId="28">
    <w:abstractNumId w:val="28"/>
  </w:num>
  <w:num w:numId="29">
    <w:abstractNumId w:val="20"/>
  </w:num>
  <w:num w:numId="30">
    <w:abstractNumId w:val="4"/>
  </w:num>
  <w:num w:numId="31">
    <w:abstractNumId w:val="48"/>
  </w:num>
  <w:num w:numId="32">
    <w:abstractNumId w:val="0"/>
  </w:num>
  <w:num w:numId="33">
    <w:abstractNumId w:val="40"/>
  </w:num>
  <w:num w:numId="34">
    <w:abstractNumId w:val="26"/>
  </w:num>
  <w:num w:numId="35">
    <w:abstractNumId w:val="21"/>
  </w:num>
  <w:num w:numId="36">
    <w:abstractNumId w:val="3"/>
  </w:num>
  <w:num w:numId="37">
    <w:abstractNumId w:val="44"/>
  </w:num>
  <w:num w:numId="38">
    <w:abstractNumId w:val="16"/>
  </w:num>
  <w:num w:numId="39">
    <w:abstractNumId w:val="31"/>
  </w:num>
  <w:num w:numId="40">
    <w:abstractNumId w:val="33"/>
  </w:num>
  <w:num w:numId="41">
    <w:abstractNumId w:val="32"/>
  </w:num>
  <w:num w:numId="42">
    <w:abstractNumId w:val="43"/>
  </w:num>
  <w:num w:numId="43">
    <w:abstractNumId w:val="22"/>
  </w:num>
  <w:num w:numId="44">
    <w:abstractNumId w:val="51"/>
  </w:num>
  <w:num w:numId="45">
    <w:abstractNumId w:val="27"/>
  </w:num>
  <w:num w:numId="46">
    <w:abstractNumId w:val="41"/>
  </w:num>
  <w:num w:numId="47">
    <w:abstractNumId w:val="38"/>
  </w:num>
  <w:num w:numId="48">
    <w:abstractNumId w:val="10"/>
  </w:num>
  <w:num w:numId="49">
    <w:abstractNumId w:val="30"/>
  </w:num>
  <w:num w:numId="50">
    <w:abstractNumId w:val="49"/>
  </w:num>
  <w:num w:numId="51">
    <w:abstractNumId w:val="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3A15"/>
    <w:rsid w:val="00005E26"/>
    <w:rsid w:val="0001082B"/>
    <w:rsid w:val="00012E33"/>
    <w:rsid w:val="00015A73"/>
    <w:rsid w:val="00015FDE"/>
    <w:rsid w:val="00016217"/>
    <w:rsid w:val="000167FC"/>
    <w:rsid w:val="00016861"/>
    <w:rsid w:val="000168CB"/>
    <w:rsid w:val="000200CF"/>
    <w:rsid w:val="0002040E"/>
    <w:rsid w:val="000205F1"/>
    <w:rsid w:val="00021482"/>
    <w:rsid w:val="00021DE0"/>
    <w:rsid w:val="00022047"/>
    <w:rsid w:val="00022064"/>
    <w:rsid w:val="000237EB"/>
    <w:rsid w:val="0002494E"/>
    <w:rsid w:val="000262E7"/>
    <w:rsid w:val="000274B9"/>
    <w:rsid w:val="0002758B"/>
    <w:rsid w:val="000276A0"/>
    <w:rsid w:val="00027DD9"/>
    <w:rsid w:val="000330DB"/>
    <w:rsid w:val="0003429F"/>
    <w:rsid w:val="00034EE3"/>
    <w:rsid w:val="0003562A"/>
    <w:rsid w:val="00036095"/>
    <w:rsid w:val="000364E9"/>
    <w:rsid w:val="00036AF4"/>
    <w:rsid w:val="00041C10"/>
    <w:rsid w:val="00043484"/>
    <w:rsid w:val="00043804"/>
    <w:rsid w:val="00043D19"/>
    <w:rsid w:val="000441A1"/>
    <w:rsid w:val="00050666"/>
    <w:rsid w:val="00050869"/>
    <w:rsid w:val="0005087F"/>
    <w:rsid w:val="00052724"/>
    <w:rsid w:val="000561C1"/>
    <w:rsid w:val="00056204"/>
    <w:rsid w:val="000570D1"/>
    <w:rsid w:val="000571A9"/>
    <w:rsid w:val="00057E66"/>
    <w:rsid w:val="00060290"/>
    <w:rsid w:val="00063595"/>
    <w:rsid w:val="00063E24"/>
    <w:rsid w:val="00063EC4"/>
    <w:rsid w:val="00064A52"/>
    <w:rsid w:val="000667B0"/>
    <w:rsid w:val="00067290"/>
    <w:rsid w:val="00067847"/>
    <w:rsid w:val="00071E2A"/>
    <w:rsid w:val="00072229"/>
    <w:rsid w:val="00072FD6"/>
    <w:rsid w:val="00073CF1"/>
    <w:rsid w:val="00074A83"/>
    <w:rsid w:val="00074BD0"/>
    <w:rsid w:val="00074D9A"/>
    <w:rsid w:val="00074DB9"/>
    <w:rsid w:val="000753C4"/>
    <w:rsid w:val="000755B8"/>
    <w:rsid w:val="0007598D"/>
    <w:rsid w:val="00075DF0"/>
    <w:rsid w:val="000762CA"/>
    <w:rsid w:val="000770A7"/>
    <w:rsid w:val="00077B22"/>
    <w:rsid w:val="000803A4"/>
    <w:rsid w:val="00080BB1"/>
    <w:rsid w:val="00082495"/>
    <w:rsid w:val="0008339E"/>
    <w:rsid w:val="00083EB1"/>
    <w:rsid w:val="00084E4B"/>
    <w:rsid w:val="00087E9F"/>
    <w:rsid w:val="00090AD1"/>
    <w:rsid w:val="00090F4F"/>
    <w:rsid w:val="000911B5"/>
    <w:rsid w:val="000912C8"/>
    <w:rsid w:val="0009135B"/>
    <w:rsid w:val="00091476"/>
    <w:rsid w:val="00092879"/>
    <w:rsid w:val="000929C7"/>
    <w:rsid w:val="00092B6C"/>
    <w:rsid w:val="00094E87"/>
    <w:rsid w:val="00094F69"/>
    <w:rsid w:val="00095BB1"/>
    <w:rsid w:val="00095EA3"/>
    <w:rsid w:val="00097B02"/>
    <w:rsid w:val="00097FB2"/>
    <w:rsid w:val="000A0FF1"/>
    <w:rsid w:val="000A151D"/>
    <w:rsid w:val="000A24C5"/>
    <w:rsid w:val="000A3C49"/>
    <w:rsid w:val="000A3F7F"/>
    <w:rsid w:val="000A403E"/>
    <w:rsid w:val="000A5952"/>
    <w:rsid w:val="000A597A"/>
    <w:rsid w:val="000A7EEE"/>
    <w:rsid w:val="000B0A81"/>
    <w:rsid w:val="000B3A13"/>
    <w:rsid w:val="000B4BB2"/>
    <w:rsid w:val="000B4F75"/>
    <w:rsid w:val="000B76FE"/>
    <w:rsid w:val="000B7B79"/>
    <w:rsid w:val="000C1BEA"/>
    <w:rsid w:val="000C3FED"/>
    <w:rsid w:val="000C411F"/>
    <w:rsid w:val="000C45A0"/>
    <w:rsid w:val="000C76B0"/>
    <w:rsid w:val="000C7BBE"/>
    <w:rsid w:val="000D1255"/>
    <w:rsid w:val="000D2475"/>
    <w:rsid w:val="000D2F39"/>
    <w:rsid w:val="000D442C"/>
    <w:rsid w:val="000D4DC4"/>
    <w:rsid w:val="000D7F12"/>
    <w:rsid w:val="000E15DB"/>
    <w:rsid w:val="000E1813"/>
    <w:rsid w:val="000E612D"/>
    <w:rsid w:val="000E6DEB"/>
    <w:rsid w:val="000E745A"/>
    <w:rsid w:val="000E7E9E"/>
    <w:rsid w:val="000F0044"/>
    <w:rsid w:val="000F015F"/>
    <w:rsid w:val="000F2173"/>
    <w:rsid w:val="000F2C5F"/>
    <w:rsid w:val="000F703B"/>
    <w:rsid w:val="000F7084"/>
    <w:rsid w:val="001002CD"/>
    <w:rsid w:val="00101556"/>
    <w:rsid w:val="00105CE1"/>
    <w:rsid w:val="00106EF8"/>
    <w:rsid w:val="00107B3F"/>
    <w:rsid w:val="001101A2"/>
    <w:rsid w:val="001113F1"/>
    <w:rsid w:val="00111489"/>
    <w:rsid w:val="00111797"/>
    <w:rsid w:val="00111B19"/>
    <w:rsid w:val="00112810"/>
    <w:rsid w:val="00113C67"/>
    <w:rsid w:val="00113E1C"/>
    <w:rsid w:val="00114A64"/>
    <w:rsid w:val="00115F59"/>
    <w:rsid w:val="00116C1A"/>
    <w:rsid w:val="00116E29"/>
    <w:rsid w:val="00121F3E"/>
    <w:rsid w:val="0012229E"/>
    <w:rsid w:val="00123849"/>
    <w:rsid w:val="00123A5E"/>
    <w:rsid w:val="00125010"/>
    <w:rsid w:val="00125266"/>
    <w:rsid w:val="00125B82"/>
    <w:rsid w:val="00127C8D"/>
    <w:rsid w:val="001305E6"/>
    <w:rsid w:val="0013239A"/>
    <w:rsid w:val="00133AAE"/>
    <w:rsid w:val="00135B8C"/>
    <w:rsid w:val="00136F80"/>
    <w:rsid w:val="0013761A"/>
    <w:rsid w:val="0014423A"/>
    <w:rsid w:val="0014549C"/>
    <w:rsid w:val="0014643F"/>
    <w:rsid w:val="00147042"/>
    <w:rsid w:val="001471A7"/>
    <w:rsid w:val="001506F6"/>
    <w:rsid w:val="001539D0"/>
    <w:rsid w:val="00154032"/>
    <w:rsid w:val="001547D3"/>
    <w:rsid w:val="001552C4"/>
    <w:rsid w:val="00155721"/>
    <w:rsid w:val="001559BD"/>
    <w:rsid w:val="0015612B"/>
    <w:rsid w:val="001561D0"/>
    <w:rsid w:val="00157F79"/>
    <w:rsid w:val="00160795"/>
    <w:rsid w:val="0016161A"/>
    <w:rsid w:val="00163E84"/>
    <w:rsid w:val="001668AA"/>
    <w:rsid w:val="00166946"/>
    <w:rsid w:val="001675B1"/>
    <w:rsid w:val="0016789D"/>
    <w:rsid w:val="00167C87"/>
    <w:rsid w:val="0017135F"/>
    <w:rsid w:val="001716AB"/>
    <w:rsid w:val="00172EE3"/>
    <w:rsid w:val="00172FEE"/>
    <w:rsid w:val="0017460C"/>
    <w:rsid w:val="00174D45"/>
    <w:rsid w:val="00175014"/>
    <w:rsid w:val="00177542"/>
    <w:rsid w:val="00177E7E"/>
    <w:rsid w:val="00180FA3"/>
    <w:rsid w:val="00182AE4"/>
    <w:rsid w:val="0018356F"/>
    <w:rsid w:val="00183952"/>
    <w:rsid w:val="00183BAD"/>
    <w:rsid w:val="0018433B"/>
    <w:rsid w:val="001876C5"/>
    <w:rsid w:val="00187D68"/>
    <w:rsid w:val="00190155"/>
    <w:rsid w:val="001906B5"/>
    <w:rsid w:val="0019080D"/>
    <w:rsid w:val="00191C0A"/>
    <w:rsid w:val="00192886"/>
    <w:rsid w:val="00193086"/>
    <w:rsid w:val="00194163"/>
    <w:rsid w:val="0019433B"/>
    <w:rsid w:val="00194FEB"/>
    <w:rsid w:val="001970A4"/>
    <w:rsid w:val="001971CD"/>
    <w:rsid w:val="00197AD1"/>
    <w:rsid w:val="001A2590"/>
    <w:rsid w:val="001A5F4C"/>
    <w:rsid w:val="001B0020"/>
    <w:rsid w:val="001B03DB"/>
    <w:rsid w:val="001B0C88"/>
    <w:rsid w:val="001B0EAD"/>
    <w:rsid w:val="001B1DE8"/>
    <w:rsid w:val="001B39F7"/>
    <w:rsid w:val="001B3F87"/>
    <w:rsid w:val="001B4026"/>
    <w:rsid w:val="001B598C"/>
    <w:rsid w:val="001B6C66"/>
    <w:rsid w:val="001B76A6"/>
    <w:rsid w:val="001C07F8"/>
    <w:rsid w:val="001C2F59"/>
    <w:rsid w:val="001C3D42"/>
    <w:rsid w:val="001C6382"/>
    <w:rsid w:val="001C6851"/>
    <w:rsid w:val="001C6C08"/>
    <w:rsid w:val="001D00A4"/>
    <w:rsid w:val="001D2056"/>
    <w:rsid w:val="001D42D1"/>
    <w:rsid w:val="001D45A4"/>
    <w:rsid w:val="001D64E5"/>
    <w:rsid w:val="001D6EB8"/>
    <w:rsid w:val="001D70AD"/>
    <w:rsid w:val="001D764F"/>
    <w:rsid w:val="001E037A"/>
    <w:rsid w:val="001E05EC"/>
    <w:rsid w:val="001E1329"/>
    <w:rsid w:val="001E1733"/>
    <w:rsid w:val="001E3440"/>
    <w:rsid w:val="001E4809"/>
    <w:rsid w:val="001E4F4F"/>
    <w:rsid w:val="001E5758"/>
    <w:rsid w:val="001E6267"/>
    <w:rsid w:val="001E67C3"/>
    <w:rsid w:val="001E77E6"/>
    <w:rsid w:val="001F2051"/>
    <w:rsid w:val="001F27F4"/>
    <w:rsid w:val="001F28D5"/>
    <w:rsid w:val="001F3DC0"/>
    <w:rsid w:val="001F47EE"/>
    <w:rsid w:val="001F4C5A"/>
    <w:rsid w:val="001F6425"/>
    <w:rsid w:val="001F6772"/>
    <w:rsid w:val="001F7421"/>
    <w:rsid w:val="00200195"/>
    <w:rsid w:val="00200B5F"/>
    <w:rsid w:val="00201EEF"/>
    <w:rsid w:val="00202357"/>
    <w:rsid w:val="002038CB"/>
    <w:rsid w:val="002046C6"/>
    <w:rsid w:val="002047C8"/>
    <w:rsid w:val="002052B3"/>
    <w:rsid w:val="002058F9"/>
    <w:rsid w:val="002075ED"/>
    <w:rsid w:val="00207809"/>
    <w:rsid w:val="002123A3"/>
    <w:rsid w:val="00212B1F"/>
    <w:rsid w:val="00213D7C"/>
    <w:rsid w:val="00214513"/>
    <w:rsid w:val="002155B7"/>
    <w:rsid w:val="00215773"/>
    <w:rsid w:val="0021766A"/>
    <w:rsid w:val="00221331"/>
    <w:rsid w:val="002225D3"/>
    <w:rsid w:val="00222A35"/>
    <w:rsid w:val="0022301D"/>
    <w:rsid w:val="00224B2C"/>
    <w:rsid w:val="00224B5C"/>
    <w:rsid w:val="00225758"/>
    <w:rsid w:val="00227213"/>
    <w:rsid w:val="00227E55"/>
    <w:rsid w:val="00232433"/>
    <w:rsid w:val="00232AA0"/>
    <w:rsid w:val="00234CDF"/>
    <w:rsid w:val="00236B91"/>
    <w:rsid w:val="00237E75"/>
    <w:rsid w:val="0024097D"/>
    <w:rsid w:val="00242048"/>
    <w:rsid w:val="002424C0"/>
    <w:rsid w:val="00242CAA"/>
    <w:rsid w:val="00243EE9"/>
    <w:rsid w:val="002443E1"/>
    <w:rsid w:val="00245D74"/>
    <w:rsid w:val="002468BB"/>
    <w:rsid w:val="00246DDF"/>
    <w:rsid w:val="002558EB"/>
    <w:rsid w:val="002573CC"/>
    <w:rsid w:val="00257BB0"/>
    <w:rsid w:val="00260DDA"/>
    <w:rsid w:val="00260FAA"/>
    <w:rsid w:val="00261D2A"/>
    <w:rsid w:val="00262338"/>
    <w:rsid w:val="00263938"/>
    <w:rsid w:val="0026455B"/>
    <w:rsid w:val="002646D7"/>
    <w:rsid w:val="00264B5E"/>
    <w:rsid w:val="00265ED1"/>
    <w:rsid w:val="00266DD9"/>
    <w:rsid w:val="002671D7"/>
    <w:rsid w:val="0027259C"/>
    <w:rsid w:val="00273543"/>
    <w:rsid w:val="00273580"/>
    <w:rsid w:val="00274C82"/>
    <w:rsid w:val="0027654D"/>
    <w:rsid w:val="00277307"/>
    <w:rsid w:val="002810DF"/>
    <w:rsid w:val="002812AB"/>
    <w:rsid w:val="002816B4"/>
    <w:rsid w:val="002816D8"/>
    <w:rsid w:val="00281833"/>
    <w:rsid w:val="00282A8C"/>
    <w:rsid w:val="0028303D"/>
    <w:rsid w:val="0028393B"/>
    <w:rsid w:val="00284537"/>
    <w:rsid w:val="002854EE"/>
    <w:rsid w:val="0028565C"/>
    <w:rsid w:val="00286813"/>
    <w:rsid w:val="00286E6A"/>
    <w:rsid w:val="002875DE"/>
    <w:rsid w:val="00287BA2"/>
    <w:rsid w:val="00287D8B"/>
    <w:rsid w:val="00287E07"/>
    <w:rsid w:val="00290E6E"/>
    <w:rsid w:val="00290EB3"/>
    <w:rsid w:val="00292846"/>
    <w:rsid w:val="00292A90"/>
    <w:rsid w:val="00292F52"/>
    <w:rsid w:val="0029424C"/>
    <w:rsid w:val="002968CC"/>
    <w:rsid w:val="002971D6"/>
    <w:rsid w:val="00297C1A"/>
    <w:rsid w:val="002A1664"/>
    <w:rsid w:val="002A20B0"/>
    <w:rsid w:val="002A2F08"/>
    <w:rsid w:val="002A3641"/>
    <w:rsid w:val="002A437D"/>
    <w:rsid w:val="002A495F"/>
    <w:rsid w:val="002A6030"/>
    <w:rsid w:val="002A6F7C"/>
    <w:rsid w:val="002A706F"/>
    <w:rsid w:val="002A70EA"/>
    <w:rsid w:val="002A7363"/>
    <w:rsid w:val="002A7C12"/>
    <w:rsid w:val="002A7F43"/>
    <w:rsid w:val="002B365E"/>
    <w:rsid w:val="002B489A"/>
    <w:rsid w:val="002B5E92"/>
    <w:rsid w:val="002B6341"/>
    <w:rsid w:val="002B79B9"/>
    <w:rsid w:val="002C0526"/>
    <w:rsid w:val="002C06A2"/>
    <w:rsid w:val="002C2321"/>
    <w:rsid w:val="002C25EE"/>
    <w:rsid w:val="002C27A8"/>
    <w:rsid w:val="002C333E"/>
    <w:rsid w:val="002C36C8"/>
    <w:rsid w:val="002C4CEC"/>
    <w:rsid w:val="002C4E8C"/>
    <w:rsid w:val="002C51A0"/>
    <w:rsid w:val="002C7303"/>
    <w:rsid w:val="002D0584"/>
    <w:rsid w:val="002D2460"/>
    <w:rsid w:val="002D2E2A"/>
    <w:rsid w:val="002D5295"/>
    <w:rsid w:val="002D52BF"/>
    <w:rsid w:val="002D6013"/>
    <w:rsid w:val="002D68FA"/>
    <w:rsid w:val="002D7ECA"/>
    <w:rsid w:val="002E0141"/>
    <w:rsid w:val="002E0B5D"/>
    <w:rsid w:val="002E1495"/>
    <w:rsid w:val="002E2900"/>
    <w:rsid w:val="002E3596"/>
    <w:rsid w:val="002E3C0D"/>
    <w:rsid w:val="002E43EC"/>
    <w:rsid w:val="002E4A6E"/>
    <w:rsid w:val="002E507D"/>
    <w:rsid w:val="002E5B3C"/>
    <w:rsid w:val="002E754F"/>
    <w:rsid w:val="002E7A79"/>
    <w:rsid w:val="002E7A7E"/>
    <w:rsid w:val="002F0610"/>
    <w:rsid w:val="002F0D6E"/>
    <w:rsid w:val="002F1BAD"/>
    <w:rsid w:val="002F2C6E"/>
    <w:rsid w:val="002F327E"/>
    <w:rsid w:val="002F3C88"/>
    <w:rsid w:val="002F4067"/>
    <w:rsid w:val="002F7315"/>
    <w:rsid w:val="002F7339"/>
    <w:rsid w:val="002F7461"/>
    <w:rsid w:val="00300908"/>
    <w:rsid w:val="003025E2"/>
    <w:rsid w:val="0030412E"/>
    <w:rsid w:val="00306D24"/>
    <w:rsid w:val="00307712"/>
    <w:rsid w:val="003101BA"/>
    <w:rsid w:val="00311F95"/>
    <w:rsid w:val="0031404A"/>
    <w:rsid w:val="00314B7C"/>
    <w:rsid w:val="00314E49"/>
    <w:rsid w:val="00315445"/>
    <w:rsid w:val="00317183"/>
    <w:rsid w:val="003204AE"/>
    <w:rsid w:val="003208EF"/>
    <w:rsid w:val="00321E70"/>
    <w:rsid w:val="003221A3"/>
    <w:rsid w:val="00324846"/>
    <w:rsid w:val="00324ABD"/>
    <w:rsid w:val="00324D9B"/>
    <w:rsid w:val="00326731"/>
    <w:rsid w:val="003272A6"/>
    <w:rsid w:val="003273CB"/>
    <w:rsid w:val="00327494"/>
    <w:rsid w:val="00330164"/>
    <w:rsid w:val="003301BC"/>
    <w:rsid w:val="0033074D"/>
    <w:rsid w:val="00330976"/>
    <w:rsid w:val="0033125E"/>
    <w:rsid w:val="00332BF3"/>
    <w:rsid w:val="00333D04"/>
    <w:rsid w:val="00336913"/>
    <w:rsid w:val="00337183"/>
    <w:rsid w:val="0033718C"/>
    <w:rsid w:val="0033725E"/>
    <w:rsid w:val="00337407"/>
    <w:rsid w:val="00340E02"/>
    <w:rsid w:val="0034194A"/>
    <w:rsid w:val="00343E6E"/>
    <w:rsid w:val="003450C8"/>
    <w:rsid w:val="0034644C"/>
    <w:rsid w:val="003465A2"/>
    <w:rsid w:val="0034782B"/>
    <w:rsid w:val="00350FDF"/>
    <w:rsid w:val="00351E5C"/>
    <w:rsid w:val="00354C23"/>
    <w:rsid w:val="0035580F"/>
    <w:rsid w:val="003558ED"/>
    <w:rsid w:val="00357AAF"/>
    <w:rsid w:val="00357CB4"/>
    <w:rsid w:val="003604EE"/>
    <w:rsid w:val="00360DFD"/>
    <w:rsid w:val="0036286B"/>
    <w:rsid w:val="00363348"/>
    <w:rsid w:val="00363371"/>
    <w:rsid w:val="003643E2"/>
    <w:rsid w:val="0036457B"/>
    <w:rsid w:val="00364989"/>
    <w:rsid w:val="003664C0"/>
    <w:rsid w:val="00367E04"/>
    <w:rsid w:val="003703BE"/>
    <w:rsid w:val="00373B29"/>
    <w:rsid w:val="003761F2"/>
    <w:rsid w:val="00376A05"/>
    <w:rsid w:val="00376B1E"/>
    <w:rsid w:val="003774FE"/>
    <w:rsid w:val="003803FB"/>
    <w:rsid w:val="00382B3C"/>
    <w:rsid w:val="00384DD2"/>
    <w:rsid w:val="00386E49"/>
    <w:rsid w:val="00390E30"/>
    <w:rsid w:val="00393ABE"/>
    <w:rsid w:val="0039458D"/>
    <w:rsid w:val="00394D61"/>
    <w:rsid w:val="003953F8"/>
    <w:rsid w:val="00396021"/>
    <w:rsid w:val="003A1F5A"/>
    <w:rsid w:val="003A2ECE"/>
    <w:rsid w:val="003A3BF4"/>
    <w:rsid w:val="003A4252"/>
    <w:rsid w:val="003A4D8B"/>
    <w:rsid w:val="003A4DE1"/>
    <w:rsid w:val="003A539A"/>
    <w:rsid w:val="003A62A4"/>
    <w:rsid w:val="003A7476"/>
    <w:rsid w:val="003A7D86"/>
    <w:rsid w:val="003B0AA1"/>
    <w:rsid w:val="003B243D"/>
    <w:rsid w:val="003B304F"/>
    <w:rsid w:val="003B352D"/>
    <w:rsid w:val="003B405E"/>
    <w:rsid w:val="003B509E"/>
    <w:rsid w:val="003B534E"/>
    <w:rsid w:val="003B5D18"/>
    <w:rsid w:val="003B795D"/>
    <w:rsid w:val="003C199C"/>
    <w:rsid w:val="003C26A6"/>
    <w:rsid w:val="003C26C1"/>
    <w:rsid w:val="003C3FD9"/>
    <w:rsid w:val="003C5A38"/>
    <w:rsid w:val="003C5C11"/>
    <w:rsid w:val="003C6A5A"/>
    <w:rsid w:val="003C6AAD"/>
    <w:rsid w:val="003C78A7"/>
    <w:rsid w:val="003D01CE"/>
    <w:rsid w:val="003D1D4D"/>
    <w:rsid w:val="003D1EA1"/>
    <w:rsid w:val="003D2115"/>
    <w:rsid w:val="003D37DD"/>
    <w:rsid w:val="003D428A"/>
    <w:rsid w:val="003D45DF"/>
    <w:rsid w:val="003D47C6"/>
    <w:rsid w:val="003D591A"/>
    <w:rsid w:val="003D7E38"/>
    <w:rsid w:val="003D7EAC"/>
    <w:rsid w:val="003E379A"/>
    <w:rsid w:val="003E4E58"/>
    <w:rsid w:val="003E52B0"/>
    <w:rsid w:val="003E64DC"/>
    <w:rsid w:val="003E7A3B"/>
    <w:rsid w:val="003E7A43"/>
    <w:rsid w:val="003F0B58"/>
    <w:rsid w:val="003F0D40"/>
    <w:rsid w:val="003F14F5"/>
    <w:rsid w:val="003F1D81"/>
    <w:rsid w:val="003F2236"/>
    <w:rsid w:val="003F27B7"/>
    <w:rsid w:val="003F2C03"/>
    <w:rsid w:val="003F4051"/>
    <w:rsid w:val="003F463C"/>
    <w:rsid w:val="003F480C"/>
    <w:rsid w:val="003F5812"/>
    <w:rsid w:val="004003AE"/>
    <w:rsid w:val="00400E4A"/>
    <w:rsid w:val="00402E9A"/>
    <w:rsid w:val="00403FA8"/>
    <w:rsid w:val="00404040"/>
    <w:rsid w:val="00404213"/>
    <w:rsid w:val="004048AC"/>
    <w:rsid w:val="00404B8E"/>
    <w:rsid w:val="004050FD"/>
    <w:rsid w:val="0040582E"/>
    <w:rsid w:val="004059CB"/>
    <w:rsid w:val="0040652B"/>
    <w:rsid w:val="004068C2"/>
    <w:rsid w:val="00410C35"/>
    <w:rsid w:val="00410D2A"/>
    <w:rsid w:val="00414687"/>
    <w:rsid w:val="0041567A"/>
    <w:rsid w:val="00415E7F"/>
    <w:rsid w:val="0041622E"/>
    <w:rsid w:val="00417869"/>
    <w:rsid w:val="00420288"/>
    <w:rsid w:val="00420B4E"/>
    <w:rsid w:val="00421C78"/>
    <w:rsid w:val="00422146"/>
    <w:rsid w:val="004224CE"/>
    <w:rsid w:val="0042337B"/>
    <w:rsid w:val="00423813"/>
    <w:rsid w:val="00424A78"/>
    <w:rsid w:val="004254DB"/>
    <w:rsid w:val="00425932"/>
    <w:rsid w:val="004273FB"/>
    <w:rsid w:val="00427EEA"/>
    <w:rsid w:val="004302EC"/>
    <w:rsid w:val="00430578"/>
    <w:rsid w:val="00431836"/>
    <w:rsid w:val="004321E6"/>
    <w:rsid w:val="00432383"/>
    <w:rsid w:val="0043278E"/>
    <w:rsid w:val="004360AC"/>
    <w:rsid w:val="00436B83"/>
    <w:rsid w:val="00436CFF"/>
    <w:rsid w:val="00441061"/>
    <w:rsid w:val="004411EC"/>
    <w:rsid w:val="00445628"/>
    <w:rsid w:val="004457C6"/>
    <w:rsid w:val="00447B10"/>
    <w:rsid w:val="00450C70"/>
    <w:rsid w:val="00451298"/>
    <w:rsid w:val="00451AAA"/>
    <w:rsid w:val="00451F09"/>
    <w:rsid w:val="004528A8"/>
    <w:rsid w:val="00453344"/>
    <w:rsid w:val="0045364A"/>
    <w:rsid w:val="00454E76"/>
    <w:rsid w:val="0045642A"/>
    <w:rsid w:val="00456665"/>
    <w:rsid w:val="00457080"/>
    <w:rsid w:val="00460891"/>
    <w:rsid w:val="00460A9D"/>
    <w:rsid w:val="004618A8"/>
    <w:rsid w:val="00463697"/>
    <w:rsid w:val="00464FB2"/>
    <w:rsid w:val="00465D48"/>
    <w:rsid w:val="00466AAF"/>
    <w:rsid w:val="0046745E"/>
    <w:rsid w:val="00471472"/>
    <w:rsid w:val="004725EC"/>
    <w:rsid w:val="004736BE"/>
    <w:rsid w:val="00474505"/>
    <w:rsid w:val="0047556D"/>
    <w:rsid w:val="00475789"/>
    <w:rsid w:val="00475A14"/>
    <w:rsid w:val="00476170"/>
    <w:rsid w:val="00480A26"/>
    <w:rsid w:val="004820B0"/>
    <w:rsid w:val="00482E2F"/>
    <w:rsid w:val="0048595F"/>
    <w:rsid w:val="004859B4"/>
    <w:rsid w:val="00486ACD"/>
    <w:rsid w:val="00492C65"/>
    <w:rsid w:val="0049403F"/>
    <w:rsid w:val="00494323"/>
    <w:rsid w:val="00494349"/>
    <w:rsid w:val="00494485"/>
    <w:rsid w:val="004956C2"/>
    <w:rsid w:val="004A05EB"/>
    <w:rsid w:val="004A0F27"/>
    <w:rsid w:val="004A0F37"/>
    <w:rsid w:val="004A0F68"/>
    <w:rsid w:val="004A3608"/>
    <w:rsid w:val="004A4FBD"/>
    <w:rsid w:val="004A744E"/>
    <w:rsid w:val="004A7810"/>
    <w:rsid w:val="004A7E93"/>
    <w:rsid w:val="004B10FA"/>
    <w:rsid w:val="004B1395"/>
    <w:rsid w:val="004B1A8B"/>
    <w:rsid w:val="004B1AF7"/>
    <w:rsid w:val="004B1B51"/>
    <w:rsid w:val="004B3C98"/>
    <w:rsid w:val="004B3CFB"/>
    <w:rsid w:val="004B4840"/>
    <w:rsid w:val="004B538A"/>
    <w:rsid w:val="004B5D6B"/>
    <w:rsid w:val="004B5F4A"/>
    <w:rsid w:val="004B62A0"/>
    <w:rsid w:val="004B76F8"/>
    <w:rsid w:val="004C099A"/>
    <w:rsid w:val="004C13E6"/>
    <w:rsid w:val="004C1FA6"/>
    <w:rsid w:val="004C419E"/>
    <w:rsid w:val="004C4E60"/>
    <w:rsid w:val="004C5CFD"/>
    <w:rsid w:val="004D12C0"/>
    <w:rsid w:val="004D3713"/>
    <w:rsid w:val="004D756C"/>
    <w:rsid w:val="004D7E99"/>
    <w:rsid w:val="004E26A0"/>
    <w:rsid w:val="004E2BDB"/>
    <w:rsid w:val="004E34CC"/>
    <w:rsid w:val="004E540C"/>
    <w:rsid w:val="004E605D"/>
    <w:rsid w:val="004F0850"/>
    <w:rsid w:val="004F192E"/>
    <w:rsid w:val="004F3282"/>
    <w:rsid w:val="004F50AF"/>
    <w:rsid w:val="004F5472"/>
    <w:rsid w:val="004F5B79"/>
    <w:rsid w:val="004F681D"/>
    <w:rsid w:val="00501E16"/>
    <w:rsid w:val="00502857"/>
    <w:rsid w:val="00502F68"/>
    <w:rsid w:val="00503EC4"/>
    <w:rsid w:val="005044A9"/>
    <w:rsid w:val="00504E3C"/>
    <w:rsid w:val="00505994"/>
    <w:rsid w:val="00505FD4"/>
    <w:rsid w:val="00506E25"/>
    <w:rsid w:val="0051132C"/>
    <w:rsid w:val="00513483"/>
    <w:rsid w:val="00514A55"/>
    <w:rsid w:val="00514EF5"/>
    <w:rsid w:val="00515196"/>
    <w:rsid w:val="0051592A"/>
    <w:rsid w:val="0051782D"/>
    <w:rsid w:val="0052087E"/>
    <w:rsid w:val="00520C53"/>
    <w:rsid w:val="005216E4"/>
    <w:rsid w:val="005225FB"/>
    <w:rsid w:val="0052315E"/>
    <w:rsid w:val="005264AA"/>
    <w:rsid w:val="00530ED3"/>
    <w:rsid w:val="0053147F"/>
    <w:rsid w:val="0053221C"/>
    <w:rsid w:val="005330F9"/>
    <w:rsid w:val="0053438E"/>
    <w:rsid w:val="005355EE"/>
    <w:rsid w:val="00535B16"/>
    <w:rsid w:val="005366D0"/>
    <w:rsid w:val="0053710B"/>
    <w:rsid w:val="00537E27"/>
    <w:rsid w:val="005408CB"/>
    <w:rsid w:val="00540B4D"/>
    <w:rsid w:val="00540FFA"/>
    <w:rsid w:val="005421F5"/>
    <w:rsid w:val="005427FF"/>
    <w:rsid w:val="00542930"/>
    <w:rsid w:val="0054334B"/>
    <w:rsid w:val="005435B3"/>
    <w:rsid w:val="005440B5"/>
    <w:rsid w:val="00544987"/>
    <w:rsid w:val="00546672"/>
    <w:rsid w:val="005471E7"/>
    <w:rsid w:val="00550849"/>
    <w:rsid w:val="00550F01"/>
    <w:rsid w:val="005511A3"/>
    <w:rsid w:val="00551D45"/>
    <w:rsid w:val="00552C05"/>
    <w:rsid w:val="00554BF3"/>
    <w:rsid w:val="00555A17"/>
    <w:rsid w:val="0055655F"/>
    <w:rsid w:val="0055657D"/>
    <w:rsid w:val="00556F55"/>
    <w:rsid w:val="00560D0D"/>
    <w:rsid w:val="00561EBD"/>
    <w:rsid w:val="00563FB6"/>
    <w:rsid w:val="00564AE3"/>
    <w:rsid w:val="00565FB1"/>
    <w:rsid w:val="005662FB"/>
    <w:rsid w:val="00567627"/>
    <w:rsid w:val="00567781"/>
    <w:rsid w:val="00567ECC"/>
    <w:rsid w:val="005713B1"/>
    <w:rsid w:val="005763E8"/>
    <w:rsid w:val="0058132A"/>
    <w:rsid w:val="00581846"/>
    <w:rsid w:val="00583090"/>
    <w:rsid w:val="005835F4"/>
    <w:rsid w:val="00583EFE"/>
    <w:rsid w:val="005841A3"/>
    <w:rsid w:val="005867B4"/>
    <w:rsid w:val="00590661"/>
    <w:rsid w:val="00590EAE"/>
    <w:rsid w:val="0059112A"/>
    <w:rsid w:val="00591AB4"/>
    <w:rsid w:val="00593216"/>
    <w:rsid w:val="00594BC3"/>
    <w:rsid w:val="00594EAE"/>
    <w:rsid w:val="00596CA7"/>
    <w:rsid w:val="00596DC8"/>
    <w:rsid w:val="00596E16"/>
    <w:rsid w:val="00597600"/>
    <w:rsid w:val="005A16A3"/>
    <w:rsid w:val="005A1C48"/>
    <w:rsid w:val="005A253A"/>
    <w:rsid w:val="005A5D70"/>
    <w:rsid w:val="005A7B0D"/>
    <w:rsid w:val="005B3891"/>
    <w:rsid w:val="005B4421"/>
    <w:rsid w:val="005B4496"/>
    <w:rsid w:val="005B6916"/>
    <w:rsid w:val="005B6F0D"/>
    <w:rsid w:val="005B7929"/>
    <w:rsid w:val="005B7ECC"/>
    <w:rsid w:val="005C0692"/>
    <w:rsid w:val="005C1209"/>
    <w:rsid w:val="005C204E"/>
    <w:rsid w:val="005C25D1"/>
    <w:rsid w:val="005C35A9"/>
    <w:rsid w:val="005C464B"/>
    <w:rsid w:val="005C51ED"/>
    <w:rsid w:val="005C58F1"/>
    <w:rsid w:val="005C6ED6"/>
    <w:rsid w:val="005C74A0"/>
    <w:rsid w:val="005D052C"/>
    <w:rsid w:val="005D0DAC"/>
    <w:rsid w:val="005D16FE"/>
    <w:rsid w:val="005D3A0F"/>
    <w:rsid w:val="005D4084"/>
    <w:rsid w:val="005D4777"/>
    <w:rsid w:val="005D4C2B"/>
    <w:rsid w:val="005D6F8C"/>
    <w:rsid w:val="005D75A9"/>
    <w:rsid w:val="005D7E51"/>
    <w:rsid w:val="005E0540"/>
    <w:rsid w:val="005E587D"/>
    <w:rsid w:val="005E7953"/>
    <w:rsid w:val="005E7E82"/>
    <w:rsid w:val="005F0CD8"/>
    <w:rsid w:val="005F1317"/>
    <w:rsid w:val="005F1642"/>
    <w:rsid w:val="005F172E"/>
    <w:rsid w:val="005F2DB5"/>
    <w:rsid w:val="005F3130"/>
    <w:rsid w:val="005F45D5"/>
    <w:rsid w:val="005F466E"/>
    <w:rsid w:val="005F6C28"/>
    <w:rsid w:val="005F7AB6"/>
    <w:rsid w:val="005F7E3C"/>
    <w:rsid w:val="00600FA8"/>
    <w:rsid w:val="006063DA"/>
    <w:rsid w:val="00606CE3"/>
    <w:rsid w:val="00607CB4"/>
    <w:rsid w:val="006117A5"/>
    <w:rsid w:val="00611DD3"/>
    <w:rsid w:val="00611EF0"/>
    <w:rsid w:val="00612219"/>
    <w:rsid w:val="00612849"/>
    <w:rsid w:val="00612E04"/>
    <w:rsid w:val="00613726"/>
    <w:rsid w:val="00614243"/>
    <w:rsid w:val="00616E7D"/>
    <w:rsid w:val="00617282"/>
    <w:rsid w:val="006173A4"/>
    <w:rsid w:val="00617C44"/>
    <w:rsid w:val="00622CE4"/>
    <w:rsid w:val="006234A7"/>
    <w:rsid w:val="0062512E"/>
    <w:rsid w:val="00625917"/>
    <w:rsid w:val="00625E66"/>
    <w:rsid w:val="00626B19"/>
    <w:rsid w:val="0062789F"/>
    <w:rsid w:val="006301BE"/>
    <w:rsid w:val="0063096E"/>
    <w:rsid w:val="00630BE8"/>
    <w:rsid w:val="00632933"/>
    <w:rsid w:val="00633349"/>
    <w:rsid w:val="00633D61"/>
    <w:rsid w:val="0063402B"/>
    <w:rsid w:val="006341D9"/>
    <w:rsid w:val="00636570"/>
    <w:rsid w:val="00637901"/>
    <w:rsid w:val="00637E1B"/>
    <w:rsid w:val="006402DF"/>
    <w:rsid w:val="0064164B"/>
    <w:rsid w:val="00643332"/>
    <w:rsid w:val="00644468"/>
    <w:rsid w:val="0064468F"/>
    <w:rsid w:val="00645A89"/>
    <w:rsid w:val="00645E7B"/>
    <w:rsid w:val="00645F5E"/>
    <w:rsid w:val="00646835"/>
    <w:rsid w:val="00646C8E"/>
    <w:rsid w:val="00647B1E"/>
    <w:rsid w:val="00647C55"/>
    <w:rsid w:val="0065008B"/>
    <w:rsid w:val="006528E7"/>
    <w:rsid w:val="00653A3B"/>
    <w:rsid w:val="00653FD9"/>
    <w:rsid w:val="00654D42"/>
    <w:rsid w:val="006550CC"/>
    <w:rsid w:val="00655A27"/>
    <w:rsid w:val="00656328"/>
    <w:rsid w:val="00657C7B"/>
    <w:rsid w:val="00660279"/>
    <w:rsid w:val="00661226"/>
    <w:rsid w:val="00661927"/>
    <w:rsid w:val="006622B9"/>
    <w:rsid w:val="00662E1E"/>
    <w:rsid w:val="0066371E"/>
    <w:rsid w:val="00666483"/>
    <w:rsid w:val="0066708C"/>
    <w:rsid w:val="00671CAD"/>
    <w:rsid w:val="006724AD"/>
    <w:rsid w:val="00672533"/>
    <w:rsid w:val="00672BAB"/>
    <w:rsid w:val="0067314A"/>
    <w:rsid w:val="00673D1E"/>
    <w:rsid w:val="0067605E"/>
    <w:rsid w:val="00676881"/>
    <w:rsid w:val="00676D44"/>
    <w:rsid w:val="006779CF"/>
    <w:rsid w:val="00677A8F"/>
    <w:rsid w:val="00677ACD"/>
    <w:rsid w:val="00677F8A"/>
    <w:rsid w:val="006821E3"/>
    <w:rsid w:val="0068251C"/>
    <w:rsid w:val="00683AD6"/>
    <w:rsid w:val="006842AE"/>
    <w:rsid w:val="0069097D"/>
    <w:rsid w:val="00693C84"/>
    <w:rsid w:val="00694B86"/>
    <w:rsid w:val="006A0CC8"/>
    <w:rsid w:val="006A1833"/>
    <w:rsid w:val="006A38EC"/>
    <w:rsid w:val="006A5773"/>
    <w:rsid w:val="006A5804"/>
    <w:rsid w:val="006A58F0"/>
    <w:rsid w:val="006A5E63"/>
    <w:rsid w:val="006A76CB"/>
    <w:rsid w:val="006B0372"/>
    <w:rsid w:val="006B0764"/>
    <w:rsid w:val="006B1239"/>
    <w:rsid w:val="006B3524"/>
    <w:rsid w:val="006B4467"/>
    <w:rsid w:val="006B4EBF"/>
    <w:rsid w:val="006B5824"/>
    <w:rsid w:val="006B6C46"/>
    <w:rsid w:val="006B6E78"/>
    <w:rsid w:val="006C0011"/>
    <w:rsid w:val="006C0039"/>
    <w:rsid w:val="006C18B1"/>
    <w:rsid w:val="006C1927"/>
    <w:rsid w:val="006C2585"/>
    <w:rsid w:val="006C4008"/>
    <w:rsid w:val="006C5931"/>
    <w:rsid w:val="006C73EF"/>
    <w:rsid w:val="006D00B9"/>
    <w:rsid w:val="006D1723"/>
    <w:rsid w:val="006D279A"/>
    <w:rsid w:val="006D431A"/>
    <w:rsid w:val="006D4870"/>
    <w:rsid w:val="006D5D3F"/>
    <w:rsid w:val="006D60ED"/>
    <w:rsid w:val="006D653E"/>
    <w:rsid w:val="006E1166"/>
    <w:rsid w:val="006E203B"/>
    <w:rsid w:val="006E30BF"/>
    <w:rsid w:val="006E4987"/>
    <w:rsid w:val="006E596E"/>
    <w:rsid w:val="006E685B"/>
    <w:rsid w:val="006F033F"/>
    <w:rsid w:val="006F0BE6"/>
    <w:rsid w:val="006F2169"/>
    <w:rsid w:val="006F24D8"/>
    <w:rsid w:val="006F33B8"/>
    <w:rsid w:val="006F4C9C"/>
    <w:rsid w:val="006F640F"/>
    <w:rsid w:val="006F698E"/>
    <w:rsid w:val="006F762A"/>
    <w:rsid w:val="0070039B"/>
    <w:rsid w:val="00700D17"/>
    <w:rsid w:val="00701B6B"/>
    <w:rsid w:val="007028A4"/>
    <w:rsid w:val="0070384F"/>
    <w:rsid w:val="00703A9E"/>
    <w:rsid w:val="00703D6D"/>
    <w:rsid w:val="00704152"/>
    <w:rsid w:val="00704EB3"/>
    <w:rsid w:val="00704FB5"/>
    <w:rsid w:val="00705D84"/>
    <w:rsid w:val="00706B71"/>
    <w:rsid w:val="00706DCE"/>
    <w:rsid w:val="00710143"/>
    <w:rsid w:val="00710B07"/>
    <w:rsid w:val="0071130C"/>
    <w:rsid w:val="00712EE5"/>
    <w:rsid w:val="00713493"/>
    <w:rsid w:val="00713494"/>
    <w:rsid w:val="00713738"/>
    <w:rsid w:val="0071395B"/>
    <w:rsid w:val="007139ED"/>
    <w:rsid w:val="00714031"/>
    <w:rsid w:val="00714550"/>
    <w:rsid w:val="0071466E"/>
    <w:rsid w:val="00714A6C"/>
    <w:rsid w:val="00714CD3"/>
    <w:rsid w:val="007162B9"/>
    <w:rsid w:val="00716CDF"/>
    <w:rsid w:val="007206A8"/>
    <w:rsid w:val="0072116D"/>
    <w:rsid w:val="00721ECC"/>
    <w:rsid w:val="0072226F"/>
    <w:rsid w:val="007229FD"/>
    <w:rsid w:val="00724B96"/>
    <w:rsid w:val="00725B78"/>
    <w:rsid w:val="00725BB1"/>
    <w:rsid w:val="00727082"/>
    <w:rsid w:val="007271AD"/>
    <w:rsid w:val="0073181C"/>
    <w:rsid w:val="00732126"/>
    <w:rsid w:val="00732199"/>
    <w:rsid w:val="007322E0"/>
    <w:rsid w:val="0073233C"/>
    <w:rsid w:val="0073281A"/>
    <w:rsid w:val="00732935"/>
    <w:rsid w:val="00732D0C"/>
    <w:rsid w:val="00732E64"/>
    <w:rsid w:val="00733EAD"/>
    <w:rsid w:val="00734F54"/>
    <w:rsid w:val="00736903"/>
    <w:rsid w:val="00737445"/>
    <w:rsid w:val="007374E9"/>
    <w:rsid w:val="00737C04"/>
    <w:rsid w:val="0074013A"/>
    <w:rsid w:val="00744110"/>
    <w:rsid w:val="00744595"/>
    <w:rsid w:val="00745EF6"/>
    <w:rsid w:val="00747427"/>
    <w:rsid w:val="00747A52"/>
    <w:rsid w:val="00750C0F"/>
    <w:rsid w:val="00750F1E"/>
    <w:rsid w:val="00751C12"/>
    <w:rsid w:val="00752691"/>
    <w:rsid w:val="007528F2"/>
    <w:rsid w:val="007529E4"/>
    <w:rsid w:val="00753C07"/>
    <w:rsid w:val="007574BC"/>
    <w:rsid w:val="00757EA2"/>
    <w:rsid w:val="00761F82"/>
    <w:rsid w:val="00762580"/>
    <w:rsid w:val="00763700"/>
    <w:rsid w:val="0076427C"/>
    <w:rsid w:val="007642DB"/>
    <w:rsid w:val="00764900"/>
    <w:rsid w:val="007651C4"/>
    <w:rsid w:val="00765217"/>
    <w:rsid w:val="007659AA"/>
    <w:rsid w:val="00770533"/>
    <w:rsid w:val="0077058F"/>
    <w:rsid w:val="00772199"/>
    <w:rsid w:val="0077266C"/>
    <w:rsid w:val="00772802"/>
    <w:rsid w:val="00775066"/>
    <w:rsid w:val="00775505"/>
    <w:rsid w:val="007760B1"/>
    <w:rsid w:val="00776406"/>
    <w:rsid w:val="0077743F"/>
    <w:rsid w:val="0078005A"/>
    <w:rsid w:val="0078119C"/>
    <w:rsid w:val="00781983"/>
    <w:rsid w:val="00781B6F"/>
    <w:rsid w:val="00781F9C"/>
    <w:rsid w:val="00782DFD"/>
    <w:rsid w:val="00783E35"/>
    <w:rsid w:val="00784424"/>
    <w:rsid w:val="00785474"/>
    <w:rsid w:val="00786EB0"/>
    <w:rsid w:val="00787AAC"/>
    <w:rsid w:val="00787B99"/>
    <w:rsid w:val="00793737"/>
    <w:rsid w:val="0079421C"/>
    <w:rsid w:val="00794F95"/>
    <w:rsid w:val="007950DD"/>
    <w:rsid w:val="0079526D"/>
    <w:rsid w:val="0079595C"/>
    <w:rsid w:val="00795A2C"/>
    <w:rsid w:val="00797390"/>
    <w:rsid w:val="00797DFC"/>
    <w:rsid w:val="007A05B6"/>
    <w:rsid w:val="007A094F"/>
    <w:rsid w:val="007A1C0A"/>
    <w:rsid w:val="007A1C59"/>
    <w:rsid w:val="007A2E56"/>
    <w:rsid w:val="007A472B"/>
    <w:rsid w:val="007A5866"/>
    <w:rsid w:val="007A5B41"/>
    <w:rsid w:val="007A64DF"/>
    <w:rsid w:val="007A658D"/>
    <w:rsid w:val="007B0A53"/>
    <w:rsid w:val="007B2F46"/>
    <w:rsid w:val="007B46EB"/>
    <w:rsid w:val="007B49C0"/>
    <w:rsid w:val="007B53BB"/>
    <w:rsid w:val="007B5535"/>
    <w:rsid w:val="007B5792"/>
    <w:rsid w:val="007B616F"/>
    <w:rsid w:val="007C0F1A"/>
    <w:rsid w:val="007C31E2"/>
    <w:rsid w:val="007C3BF1"/>
    <w:rsid w:val="007C4884"/>
    <w:rsid w:val="007C5CE1"/>
    <w:rsid w:val="007C6F85"/>
    <w:rsid w:val="007C7A1C"/>
    <w:rsid w:val="007D0569"/>
    <w:rsid w:val="007D16B1"/>
    <w:rsid w:val="007D19E4"/>
    <w:rsid w:val="007D325C"/>
    <w:rsid w:val="007D48B7"/>
    <w:rsid w:val="007D511D"/>
    <w:rsid w:val="007D688F"/>
    <w:rsid w:val="007D6E88"/>
    <w:rsid w:val="007D6E8A"/>
    <w:rsid w:val="007D7400"/>
    <w:rsid w:val="007D7761"/>
    <w:rsid w:val="007D77B3"/>
    <w:rsid w:val="007D79FF"/>
    <w:rsid w:val="007E02A7"/>
    <w:rsid w:val="007E066D"/>
    <w:rsid w:val="007E1E1E"/>
    <w:rsid w:val="007E468A"/>
    <w:rsid w:val="007E51A5"/>
    <w:rsid w:val="007E7ABB"/>
    <w:rsid w:val="007E7F4C"/>
    <w:rsid w:val="007F2CB7"/>
    <w:rsid w:val="007F3018"/>
    <w:rsid w:val="007F61DF"/>
    <w:rsid w:val="007F65E1"/>
    <w:rsid w:val="007F697C"/>
    <w:rsid w:val="007F6A8A"/>
    <w:rsid w:val="008000A8"/>
    <w:rsid w:val="008023D1"/>
    <w:rsid w:val="00803FEB"/>
    <w:rsid w:val="008060C3"/>
    <w:rsid w:val="008063A1"/>
    <w:rsid w:val="0080704A"/>
    <w:rsid w:val="00807206"/>
    <w:rsid w:val="00807F00"/>
    <w:rsid w:val="00812F28"/>
    <w:rsid w:val="008134BD"/>
    <w:rsid w:val="00814656"/>
    <w:rsid w:val="00815D6A"/>
    <w:rsid w:val="00820AEF"/>
    <w:rsid w:val="00820E45"/>
    <w:rsid w:val="00821E04"/>
    <w:rsid w:val="00821E2C"/>
    <w:rsid w:val="008227E8"/>
    <w:rsid w:val="00822835"/>
    <w:rsid w:val="00825042"/>
    <w:rsid w:val="00825303"/>
    <w:rsid w:val="00826758"/>
    <w:rsid w:val="008270C2"/>
    <w:rsid w:val="00827FC1"/>
    <w:rsid w:val="00832824"/>
    <w:rsid w:val="00832D14"/>
    <w:rsid w:val="00834289"/>
    <w:rsid w:val="008353E0"/>
    <w:rsid w:val="008365F0"/>
    <w:rsid w:val="00837B37"/>
    <w:rsid w:val="00841534"/>
    <w:rsid w:val="00845097"/>
    <w:rsid w:val="008462F1"/>
    <w:rsid w:val="008474AA"/>
    <w:rsid w:val="00847CEB"/>
    <w:rsid w:val="00850FDE"/>
    <w:rsid w:val="00851B39"/>
    <w:rsid w:val="00852876"/>
    <w:rsid w:val="00854176"/>
    <w:rsid w:val="008543F5"/>
    <w:rsid w:val="00855004"/>
    <w:rsid w:val="0085555A"/>
    <w:rsid w:val="008555A9"/>
    <w:rsid w:val="00856686"/>
    <w:rsid w:val="008572C4"/>
    <w:rsid w:val="0085733E"/>
    <w:rsid w:val="00857B70"/>
    <w:rsid w:val="008604A8"/>
    <w:rsid w:val="0086167F"/>
    <w:rsid w:val="00861A5A"/>
    <w:rsid w:val="00861AFA"/>
    <w:rsid w:val="0086205F"/>
    <w:rsid w:val="00863C61"/>
    <w:rsid w:val="00864632"/>
    <w:rsid w:val="00865522"/>
    <w:rsid w:val="00865ADF"/>
    <w:rsid w:val="0086644C"/>
    <w:rsid w:val="00866593"/>
    <w:rsid w:val="008666B5"/>
    <w:rsid w:val="008703B3"/>
    <w:rsid w:val="00876985"/>
    <w:rsid w:val="00876B4C"/>
    <w:rsid w:val="00876E4B"/>
    <w:rsid w:val="0087789A"/>
    <w:rsid w:val="00880570"/>
    <w:rsid w:val="00880D8D"/>
    <w:rsid w:val="0088300F"/>
    <w:rsid w:val="00883780"/>
    <w:rsid w:val="00883B99"/>
    <w:rsid w:val="00883CD2"/>
    <w:rsid w:val="00884132"/>
    <w:rsid w:val="00885066"/>
    <w:rsid w:val="00885F85"/>
    <w:rsid w:val="0088665E"/>
    <w:rsid w:val="00887070"/>
    <w:rsid w:val="00890510"/>
    <w:rsid w:val="008923C8"/>
    <w:rsid w:val="0089245A"/>
    <w:rsid w:val="00893260"/>
    <w:rsid w:val="008932A8"/>
    <w:rsid w:val="00893756"/>
    <w:rsid w:val="00893942"/>
    <w:rsid w:val="00894167"/>
    <w:rsid w:val="008949EF"/>
    <w:rsid w:val="00894A9E"/>
    <w:rsid w:val="008950F6"/>
    <w:rsid w:val="008964AF"/>
    <w:rsid w:val="00896815"/>
    <w:rsid w:val="008969FE"/>
    <w:rsid w:val="008975F3"/>
    <w:rsid w:val="008A0744"/>
    <w:rsid w:val="008A0A6E"/>
    <w:rsid w:val="008A0D0F"/>
    <w:rsid w:val="008A0FFC"/>
    <w:rsid w:val="008A122E"/>
    <w:rsid w:val="008A2E3B"/>
    <w:rsid w:val="008A2FB3"/>
    <w:rsid w:val="008A398B"/>
    <w:rsid w:val="008A5601"/>
    <w:rsid w:val="008A59AD"/>
    <w:rsid w:val="008A64AA"/>
    <w:rsid w:val="008A70DD"/>
    <w:rsid w:val="008A7277"/>
    <w:rsid w:val="008A7AB6"/>
    <w:rsid w:val="008B0EEB"/>
    <w:rsid w:val="008B1190"/>
    <w:rsid w:val="008B2276"/>
    <w:rsid w:val="008B31F9"/>
    <w:rsid w:val="008B4194"/>
    <w:rsid w:val="008B431D"/>
    <w:rsid w:val="008B4862"/>
    <w:rsid w:val="008B51FD"/>
    <w:rsid w:val="008B6C87"/>
    <w:rsid w:val="008C018C"/>
    <w:rsid w:val="008C0734"/>
    <w:rsid w:val="008C1939"/>
    <w:rsid w:val="008C2142"/>
    <w:rsid w:val="008C252C"/>
    <w:rsid w:val="008C2AAB"/>
    <w:rsid w:val="008C3396"/>
    <w:rsid w:val="008C621C"/>
    <w:rsid w:val="008C697C"/>
    <w:rsid w:val="008C75ED"/>
    <w:rsid w:val="008C7649"/>
    <w:rsid w:val="008D67B1"/>
    <w:rsid w:val="008D6BF5"/>
    <w:rsid w:val="008E04CA"/>
    <w:rsid w:val="008E0894"/>
    <w:rsid w:val="008E0991"/>
    <w:rsid w:val="008E2A4D"/>
    <w:rsid w:val="008E338E"/>
    <w:rsid w:val="008E3649"/>
    <w:rsid w:val="008E4022"/>
    <w:rsid w:val="008E462C"/>
    <w:rsid w:val="008E57FE"/>
    <w:rsid w:val="008F2665"/>
    <w:rsid w:val="008F2746"/>
    <w:rsid w:val="008F57B3"/>
    <w:rsid w:val="008F6312"/>
    <w:rsid w:val="008F6376"/>
    <w:rsid w:val="008F7D94"/>
    <w:rsid w:val="009019FB"/>
    <w:rsid w:val="00901E89"/>
    <w:rsid w:val="00904252"/>
    <w:rsid w:val="00905B05"/>
    <w:rsid w:val="009062CB"/>
    <w:rsid w:val="0090753C"/>
    <w:rsid w:val="00911B66"/>
    <w:rsid w:val="00912230"/>
    <w:rsid w:val="00912A7E"/>
    <w:rsid w:val="00914472"/>
    <w:rsid w:val="00914598"/>
    <w:rsid w:val="00915330"/>
    <w:rsid w:val="00916E69"/>
    <w:rsid w:val="00917525"/>
    <w:rsid w:val="0091777D"/>
    <w:rsid w:val="009204DD"/>
    <w:rsid w:val="0092057D"/>
    <w:rsid w:val="009218DE"/>
    <w:rsid w:val="009220FD"/>
    <w:rsid w:val="00922D00"/>
    <w:rsid w:val="00922E29"/>
    <w:rsid w:val="00923AB4"/>
    <w:rsid w:val="00923F17"/>
    <w:rsid w:val="00925638"/>
    <w:rsid w:val="0092563D"/>
    <w:rsid w:val="009261E8"/>
    <w:rsid w:val="009266DA"/>
    <w:rsid w:val="00926C1B"/>
    <w:rsid w:val="009304DE"/>
    <w:rsid w:val="00930DE8"/>
    <w:rsid w:val="009315FC"/>
    <w:rsid w:val="009318DD"/>
    <w:rsid w:val="0093271A"/>
    <w:rsid w:val="00932E6C"/>
    <w:rsid w:val="009346D8"/>
    <w:rsid w:val="00935083"/>
    <w:rsid w:val="00935413"/>
    <w:rsid w:val="00935606"/>
    <w:rsid w:val="00935F5D"/>
    <w:rsid w:val="0093671C"/>
    <w:rsid w:val="009368E0"/>
    <w:rsid w:val="00937CF2"/>
    <w:rsid w:val="00940942"/>
    <w:rsid w:val="0094260B"/>
    <w:rsid w:val="0094263C"/>
    <w:rsid w:val="00942661"/>
    <w:rsid w:val="00942BDF"/>
    <w:rsid w:val="00942C2A"/>
    <w:rsid w:val="00945307"/>
    <w:rsid w:val="0094558D"/>
    <w:rsid w:val="00946FCE"/>
    <w:rsid w:val="00947DFC"/>
    <w:rsid w:val="009515BC"/>
    <w:rsid w:val="00953ED0"/>
    <w:rsid w:val="0095492E"/>
    <w:rsid w:val="00955F7D"/>
    <w:rsid w:val="009566A6"/>
    <w:rsid w:val="0095699B"/>
    <w:rsid w:val="00956D0A"/>
    <w:rsid w:val="009610D8"/>
    <w:rsid w:val="0096242F"/>
    <w:rsid w:val="0096289F"/>
    <w:rsid w:val="00962E3B"/>
    <w:rsid w:val="00962FF5"/>
    <w:rsid w:val="00964A4E"/>
    <w:rsid w:val="00964E2B"/>
    <w:rsid w:val="009651F7"/>
    <w:rsid w:val="00965B02"/>
    <w:rsid w:val="00965C07"/>
    <w:rsid w:val="00965D2D"/>
    <w:rsid w:val="0096619A"/>
    <w:rsid w:val="009664ED"/>
    <w:rsid w:val="009675AB"/>
    <w:rsid w:val="009679C9"/>
    <w:rsid w:val="00971847"/>
    <w:rsid w:val="00971B78"/>
    <w:rsid w:val="00972964"/>
    <w:rsid w:val="00973536"/>
    <w:rsid w:val="0097498D"/>
    <w:rsid w:val="00974B8C"/>
    <w:rsid w:val="0097604C"/>
    <w:rsid w:val="00976552"/>
    <w:rsid w:val="0097762F"/>
    <w:rsid w:val="009816B8"/>
    <w:rsid w:val="00982537"/>
    <w:rsid w:val="00983B45"/>
    <w:rsid w:val="0098766F"/>
    <w:rsid w:val="00990371"/>
    <w:rsid w:val="00993912"/>
    <w:rsid w:val="00993DF0"/>
    <w:rsid w:val="00994050"/>
    <w:rsid w:val="00995B12"/>
    <w:rsid w:val="00995B14"/>
    <w:rsid w:val="00995FFC"/>
    <w:rsid w:val="009962CF"/>
    <w:rsid w:val="009969D6"/>
    <w:rsid w:val="00996E2E"/>
    <w:rsid w:val="009A1D76"/>
    <w:rsid w:val="009A2799"/>
    <w:rsid w:val="009A5383"/>
    <w:rsid w:val="009A5DB1"/>
    <w:rsid w:val="009A7C5A"/>
    <w:rsid w:val="009A7E51"/>
    <w:rsid w:val="009B21B9"/>
    <w:rsid w:val="009B3F18"/>
    <w:rsid w:val="009B4CD0"/>
    <w:rsid w:val="009B4DA7"/>
    <w:rsid w:val="009B5A31"/>
    <w:rsid w:val="009B5E1B"/>
    <w:rsid w:val="009B7A77"/>
    <w:rsid w:val="009C1484"/>
    <w:rsid w:val="009C21C6"/>
    <w:rsid w:val="009C26A0"/>
    <w:rsid w:val="009C2F63"/>
    <w:rsid w:val="009C383B"/>
    <w:rsid w:val="009C3A80"/>
    <w:rsid w:val="009C5238"/>
    <w:rsid w:val="009C7405"/>
    <w:rsid w:val="009C7C5C"/>
    <w:rsid w:val="009D0913"/>
    <w:rsid w:val="009D12B4"/>
    <w:rsid w:val="009D1E70"/>
    <w:rsid w:val="009D2135"/>
    <w:rsid w:val="009D2FA7"/>
    <w:rsid w:val="009D3297"/>
    <w:rsid w:val="009D4CAE"/>
    <w:rsid w:val="009D5473"/>
    <w:rsid w:val="009D55F9"/>
    <w:rsid w:val="009D5A11"/>
    <w:rsid w:val="009D6020"/>
    <w:rsid w:val="009D7760"/>
    <w:rsid w:val="009E07E0"/>
    <w:rsid w:val="009E16E6"/>
    <w:rsid w:val="009E194D"/>
    <w:rsid w:val="009E207E"/>
    <w:rsid w:val="009E2507"/>
    <w:rsid w:val="009E2953"/>
    <w:rsid w:val="009E2C85"/>
    <w:rsid w:val="009E30CE"/>
    <w:rsid w:val="009E3750"/>
    <w:rsid w:val="009E3989"/>
    <w:rsid w:val="009E55A5"/>
    <w:rsid w:val="009E6081"/>
    <w:rsid w:val="009E6EBB"/>
    <w:rsid w:val="009E7256"/>
    <w:rsid w:val="009E7DCA"/>
    <w:rsid w:val="009F04C3"/>
    <w:rsid w:val="009F0760"/>
    <w:rsid w:val="009F0B77"/>
    <w:rsid w:val="009F3702"/>
    <w:rsid w:val="009F3FB2"/>
    <w:rsid w:val="009F4860"/>
    <w:rsid w:val="009F4894"/>
    <w:rsid w:val="009F4FA9"/>
    <w:rsid w:val="00A00057"/>
    <w:rsid w:val="00A00485"/>
    <w:rsid w:val="00A01A5F"/>
    <w:rsid w:val="00A0275A"/>
    <w:rsid w:val="00A02C96"/>
    <w:rsid w:val="00A02E65"/>
    <w:rsid w:val="00A0340A"/>
    <w:rsid w:val="00A0440C"/>
    <w:rsid w:val="00A046FE"/>
    <w:rsid w:val="00A0585F"/>
    <w:rsid w:val="00A0694A"/>
    <w:rsid w:val="00A10A30"/>
    <w:rsid w:val="00A1137C"/>
    <w:rsid w:val="00A113D7"/>
    <w:rsid w:val="00A11F0F"/>
    <w:rsid w:val="00A128BF"/>
    <w:rsid w:val="00A13722"/>
    <w:rsid w:val="00A1395F"/>
    <w:rsid w:val="00A13B8A"/>
    <w:rsid w:val="00A144A5"/>
    <w:rsid w:val="00A14CEC"/>
    <w:rsid w:val="00A16126"/>
    <w:rsid w:val="00A21C08"/>
    <w:rsid w:val="00A21FA5"/>
    <w:rsid w:val="00A24133"/>
    <w:rsid w:val="00A2534F"/>
    <w:rsid w:val="00A262BF"/>
    <w:rsid w:val="00A268D4"/>
    <w:rsid w:val="00A27809"/>
    <w:rsid w:val="00A30CBC"/>
    <w:rsid w:val="00A317B0"/>
    <w:rsid w:val="00A325AD"/>
    <w:rsid w:val="00A32CE6"/>
    <w:rsid w:val="00A34591"/>
    <w:rsid w:val="00A34889"/>
    <w:rsid w:val="00A34E44"/>
    <w:rsid w:val="00A34F56"/>
    <w:rsid w:val="00A35B58"/>
    <w:rsid w:val="00A3640F"/>
    <w:rsid w:val="00A36C82"/>
    <w:rsid w:val="00A372B2"/>
    <w:rsid w:val="00A40CE2"/>
    <w:rsid w:val="00A4159A"/>
    <w:rsid w:val="00A47176"/>
    <w:rsid w:val="00A475C5"/>
    <w:rsid w:val="00A4768C"/>
    <w:rsid w:val="00A50683"/>
    <w:rsid w:val="00A50A68"/>
    <w:rsid w:val="00A50D3B"/>
    <w:rsid w:val="00A518AA"/>
    <w:rsid w:val="00A53898"/>
    <w:rsid w:val="00A554EA"/>
    <w:rsid w:val="00A56348"/>
    <w:rsid w:val="00A56E18"/>
    <w:rsid w:val="00A5703F"/>
    <w:rsid w:val="00A5717E"/>
    <w:rsid w:val="00A571E6"/>
    <w:rsid w:val="00A57D39"/>
    <w:rsid w:val="00A62969"/>
    <w:rsid w:val="00A6316B"/>
    <w:rsid w:val="00A64C28"/>
    <w:rsid w:val="00A65316"/>
    <w:rsid w:val="00A65B76"/>
    <w:rsid w:val="00A67235"/>
    <w:rsid w:val="00A674FF"/>
    <w:rsid w:val="00A70D7E"/>
    <w:rsid w:val="00A70F69"/>
    <w:rsid w:val="00A71FFA"/>
    <w:rsid w:val="00A72611"/>
    <w:rsid w:val="00A73ABB"/>
    <w:rsid w:val="00A73D26"/>
    <w:rsid w:val="00A76299"/>
    <w:rsid w:val="00A76D2C"/>
    <w:rsid w:val="00A77746"/>
    <w:rsid w:val="00A806AA"/>
    <w:rsid w:val="00A80D36"/>
    <w:rsid w:val="00A83BF6"/>
    <w:rsid w:val="00A84083"/>
    <w:rsid w:val="00A84CFF"/>
    <w:rsid w:val="00A87509"/>
    <w:rsid w:val="00A8787E"/>
    <w:rsid w:val="00A87F31"/>
    <w:rsid w:val="00A87F5D"/>
    <w:rsid w:val="00A90ABB"/>
    <w:rsid w:val="00A90D27"/>
    <w:rsid w:val="00A90D4A"/>
    <w:rsid w:val="00A9103B"/>
    <w:rsid w:val="00A91284"/>
    <w:rsid w:val="00A918A7"/>
    <w:rsid w:val="00A92871"/>
    <w:rsid w:val="00A955EB"/>
    <w:rsid w:val="00A9593B"/>
    <w:rsid w:val="00AA0543"/>
    <w:rsid w:val="00AA1F49"/>
    <w:rsid w:val="00AA3A2E"/>
    <w:rsid w:val="00AA4099"/>
    <w:rsid w:val="00AA4297"/>
    <w:rsid w:val="00AA6913"/>
    <w:rsid w:val="00AA7688"/>
    <w:rsid w:val="00AB00D3"/>
    <w:rsid w:val="00AB2190"/>
    <w:rsid w:val="00AB39EB"/>
    <w:rsid w:val="00AB3E7C"/>
    <w:rsid w:val="00AB3F27"/>
    <w:rsid w:val="00AB3FD9"/>
    <w:rsid w:val="00AB7DE7"/>
    <w:rsid w:val="00AC1BE7"/>
    <w:rsid w:val="00AC275F"/>
    <w:rsid w:val="00AC2DAC"/>
    <w:rsid w:val="00AC37D7"/>
    <w:rsid w:val="00AC50A4"/>
    <w:rsid w:val="00AC5A95"/>
    <w:rsid w:val="00AC6074"/>
    <w:rsid w:val="00AC6471"/>
    <w:rsid w:val="00AD1306"/>
    <w:rsid w:val="00AD1751"/>
    <w:rsid w:val="00AD2465"/>
    <w:rsid w:val="00AD2B6E"/>
    <w:rsid w:val="00AD3443"/>
    <w:rsid w:val="00AD349D"/>
    <w:rsid w:val="00AD34AC"/>
    <w:rsid w:val="00AD45F6"/>
    <w:rsid w:val="00AD4B3C"/>
    <w:rsid w:val="00AD68A5"/>
    <w:rsid w:val="00AE1347"/>
    <w:rsid w:val="00AE185D"/>
    <w:rsid w:val="00AE1BFE"/>
    <w:rsid w:val="00AE347A"/>
    <w:rsid w:val="00AE3842"/>
    <w:rsid w:val="00AE3D83"/>
    <w:rsid w:val="00AE4374"/>
    <w:rsid w:val="00AE457D"/>
    <w:rsid w:val="00AE485C"/>
    <w:rsid w:val="00AE7CBB"/>
    <w:rsid w:val="00AE7D4F"/>
    <w:rsid w:val="00AE7EF5"/>
    <w:rsid w:val="00AE7F25"/>
    <w:rsid w:val="00AE7FE4"/>
    <w:rsid w:val="00AF17D3"/>
    <w:rsid w:val="00AF1D77"/>
    <w:rsid w:val="00AF2AC2"/>
    <w:rsid w:val="00AF38BA"/>
    <w:rsid w:val="00AF4F67"/>
    <w:rsid w:val="00AF522C"/>
    <w:rsid w:val="00AF5811"/>
    <w:rsid w:val="00AF59F0"/>
    <w:rsid w:val="00AF6509"/>
    <w:rsid w:val="00AF6AE2"/>
    <w:rsid w:val="00B00BBE"/>
    <w:rsid w:val="00B0456E"/>
    <w:rsid w:val="00B04DE0"/>
    <w:rsid w:val="00B06A05"/>
    <w:rsid w:val="00B06BF6"/>
    <w:rsid w:val="00B06F7F"/>
    <w:rsid w:val="00B07BC4"/>
    <w:rsid w:val="00B100F0"/>
    <w:rsid w:val="00B110DC"/>
    <w:rsid w:val="00B114C5"/>
    <w:rsid w:val="00B13C89"/>
    <w:rsid w:val="00B1402E"/>
    <w:rsid w:val="00B14865"/>
    <w:rsid w:val="00B15661"/>
    <w:rsid w:val="00B177AB"/>
    <w:rsid w:val="00B21200"/>
    <w:rsid w:val="00B21D50"/>
    <w:rsid w:val="00B22AA6"/>
    <w:rsid w:val="00B22F9B"/>
    <w:rsid w:val="00B231AA"/>
    <w:rsid w:val="00B23747"/>
    <w:rsid w:val="00B24090"/>
    <w:rsid w:val="00B257E3"/>
    <w:rsid w:val="00B25997"/>
    <w:rsid w:val="00B260C7"/>
    <w:rsid w:val="00B263E2"/>
    <w:rsid w:val="00B27028"/>
    <w:rsid w:val="00B27494"/>
    <w:rsid w:val="00B279B9"/>
    <w:rsid w:val="00B31410"/>
    <w:rsid w:val="00B34F48"/>
    <w:rsid w:val="00B34FF0"/>
    <w:rsid w:val="00B37D03"/>
    <w:rsid w:val="00B41180"/>
    <w:rsid w:val="00B43FCE"/>
    <w:rsid w:val="00B44A84"/>
    <w:rsid w:val="00B44C7F"/>
    <w:rsid w:val="00B4537C"/>
    <w:rsid w:val="00B465EE"/>
    <w:rsid w:val="00B51BA0"/>
    <w:rsid w:val="00B535BD"/>
    <w:rsid w:val="00B53701"/>
    <w:rsid w:val="00B53BB2"/>
    <w:rsid w:val="00B54D97"/>
    <w:rsid w:val="00B55711"/>
    <w:rsid w:val="00B56A26"/>
    <w:rsid w:val="00B60040"/>
    <w:rsid w:val="00B60F20"/>
    <w:rsid w:val="00B6110A"/>
    <w:rsid w:val="00B615E3"/>
    <w:rsid w:val="00B6176A"/>
    <w:rsid w:val="00B61DCE"/>
    <w:rsid w:val="00B6301A"/>
    <w:rsid w:val="00B634D7"/>
    <w:rsid w:val="00B64BB6"/>
    <w:rsid w:val="00B64C52"/>
    <w:rsid w:val="00B64CAD"/>
    <w:rsid w:val="00B6508B"/>
    <w:rsid w:val="00B6601C"/>
    <w:rsid w:val="00B6623E"/>
    <w:rsid w:val="00B66706"/>
    <w:rsid w:val="00B66751"/>
    <w:rsid w:val="00B6755F"/>
    <w:rsid w:val="00B67AA6"/>
    <w:rsid w:val="00B7066C"/>
    <w:rsid w:val="00B7176A"/>
    <w:rsid w:val="00B717D8"/>
    <w:rsid w:val="00B72DF3"/>
    <w:rsid w:val="00B74146"/>
    <w:rsid w:val="00B75B82"/>
    <w:rsid w:val="00B76F6C"/>
    <w:rsid w:val="00B77450"/>
    <w:rsid w:val="00B775DD"/>
    <w:rsid w:val="00B7762A"/>
    <w:rsid w:val="00B8080B"/>
    <w:rsid w:val="00B811EF"/>
    <w:rsid w:val="00B81435"/>
    <w:rsid w:val="00B816D4"/>
    <w:rsid w:val="00B81D8F"/>
    <w:rsid w:val="00B827FA"/>
    <w:rsid w:val="00B83412"/>
    <w:rsid w:val="00B83EFE"/>
    <w:rsid w:val="00B86BF5"/>
    <w:rsid w:val="00B86EF1"/>
    <w:rsid w:val="00B90674"/>
    <w:rsid w:val="00B91E3C"/>
    <w:rsid w:val="00B934E3"/>
    <w:rsid w:val="00B93AC6"/>
    <w:rsid w:val="00B94323"/>
    <w:rsid w:val="00B961B7"/>
    <w:rsid w:val="00B963D4"/>
    <w:rsid w:val="00B9772B"/>
    <w:rsid w:val="00BA0A78"/>
    <w:rsid w:val="00BA2DEF"/>
    <w:rsid w:val="00BA2F74"/>
    <w:rsid w:val="00BA42FB"/>
    <w:rsid w:val="00BA4768"/>
    <w:rsid w:val="00BA516F"/>
    <w:rsid w:val="00BA54CF"/>
    <w:rsid w:val="00BA628C"/>
    <w:rsid w:val="00BA7059"/>
    <w:rsid w:val="00BB0051"/>
    <w:rsid w:val="00BB02C6"/>
    <w:rsid w:val="00BB1082"/>
    <w:rsid w:val="00BB1131"/>
    <w:rsid w:val="00BB2127"/>
    <w:rsid w:val="00BB3805"/>
    <w:rsid w:val="00BB52A5"/>
    <w:rsid w:val="00BB6740"/>
    <w:rsid w:val="00BB749D"/>
    <w:rsid w:val="00BB7EA1"/>
    <w:rsid w:val="00BB7F81"/>
    <w:rsid w:val="00BC0704"/>
    <w:rsid w:val="00BC269B"/>
    <w:rsid w:val="00BC27D2"/>
    <w:rsid w:val="00BC465B"/>
    <w:rsid w:val="00BC46B4"/>
    <w:rsid w:val="00BC59EE"/>
    <w:rsid w:val="00BC5C45"/>
    <w:rsid w:val="00BC6E94"/>
    <w:rsid w:val="00BD0CF9"/>
    <w:rsid w:val="00BD1A7A"/>
    <w:rsid w:val="00BD2665"/>
    <w:rsid w:val="00BD35E1"/>
    <w:rsid w:val="00BD3DAB"/>
    <w:rsid w:val="00BD45A0"/>
    <w:rsid w:val="00BD54FC"/>
    <w:rsid w:val="00BD5D52"/>
    <w:rsid w:val="00BD61E0"/>
    <w:rsid w:val="00BD63C3"/>
    <w:rsid w:val="00BD741B"/>
    <w:rsid w:val="00BD76A4"/>
    <w:rsid w:val="00BE1C8A"/>
    <w:rsid w:val="00BE1E06"/>
    <w:rsid w:val="00BE3390"/>
    <w:rsid w:val="00BE360E"/>
    <w:rsid w:val="00BE373F"/>
    <w:rsid w:val="00BE4857"/>
    <w:rsid w:val="00BE57FF"/>
    <w:rsid w:val="00BE5847"/>
    <w:rsid w:val="00BE5BE0"/>
    <w:rsid w:val="00BE70E8"/>
    <w:rsid w:val="00BE731B"/>
    <w:rsid w:val="00BE7CBD"/>
    <w:rsid w:val="00BF0E76"/>
    <w:rsid w:val="00BF19DC"/>
    <w:rsid w:val="00BF2B3E"/>
    <w:rsid w:val="00BF2DAF"/>
    <w:rsid w:val="00BF4E1B"/>
    <w:rsid w:val="00BF76F4"/>
    <w:rsid w:val="00C008A8"/>
    <w:rsid w:val="00C00E1A"/>
    <w:rsid w:val="00C010E6"/>
    <w:rsid w:val="00C024F3"/>
    <w:rsid w:val="00C02916"/>
    <w:rsid w:val="00C0342E"/>
    <w:rsid w:val="00C0480F"/>
    <w:rsid w:val="00C05E22"/>
    <w:rsid w:val="00C1043C"/>
    <w:rsid w:val="00C1076C"/>
    <w:rsid w:val="00C12A51"/>
    <w:rsid w:val="00C14C9C"/>
    <w:rsid w:val="00C1591E"/>
    <w:rsid w:val="00C16187"/>
    <w:rsid w:val="00C17324"/>
    <w:rsid w:val="00C20D36"/>
    <w:rsid w:val="00C21038"/>
    <w:rsid w:val="00C23818"/>
    <w:rsid w:val="00C2396B"/>
    <w:rsid w:val="00C23B57"/>
    <w:rsid w:val="00C251E9"/>
    <w:rsid w:val="00C2785F"/>
    <w:rsid w:val="00C30BA6"/>
    <w:rsid w:val="00C31467"/>
    <w:rsid w:val="00C33947"/>
    <w:rsid w:val="00C34CCB"/>
    <w:rsid w:val="00C34D57"/>
    <w:rsid w:val="00C36696"/>
    <w:rsid w:val="00C36720"/>
    <w:rsid w:val="00C37518"/>
    <w:rsid w:val="00C37F00"/>
    <w:rsid w:val="00C421C9"/>
    <w:rsid w:val="00C42A3A"/>
    <w:rsid w:val="00C449BA"/>
    <w:rsid w:val="00C4517F"/>
    <w:rsid w:val="00C45232"/>
    <w:rsid w:val="00C459F2"/>
    <w:rsid w:val="00C46E94"/>
    <w:rsid w:val="00C501F1"/>
    <w:rsid w:val="00C516DE"/>
    <w:rsid w:val="00C52BA5"/>
    <w:rsid w:val="00C53323"/>
    <w:rsid w:val="00C533AB"/>
    <w:rsid w:val="00C5492B"/>
    <w:rsid w:val="00C54D8C"/>
    <w:rsid w:val="00C560D0"/>
    <w:rsid w:val="00C575BA"/>
    <w:rsid w:val="00C601A1"/>
    <w:rsid w:val="00C604B5"/>
    <w:rsid w:val="00C606C5"/>
    <w:rsid w:val="00C6185A"/>
    <w:rsid w:val="00C626C0"/>
    <w:rsid w:val="00C634BB"/>
    <w:rsid w:val="00C63AD6"/>
    <w:rsid w:val="00C63C81"/>
    <w:rsid w:val="00C65788"/>
    <w:rsid w:val="00C658D1"/>
    <w:rsid w:val="00C6649C"/>
    <w:rsid w:val="00C66CEF"/>
    <w:rsid w:val="00C670FE"/>
    <w:rsid w:val="00C70E16"/>
    <w:rsid w:val="00C71566"/>
    <w:rsid w:val="00C71E3C"/>
    <w:rsid w:val="00C7313B"/>
    <w:rsid w:val="00C75492"/>
    <w:rsid w:val="00C760B3"/>
    <w:rsid w:val="00C77C78"/>
    <w:rsid w:val="00C80614"/>
    <w:rsid w:val="00C80EE3"/>
    <w:rsid w:val="00C8146C"/>
    <w:rsid w:val="00C819D8"/>
    <w:rsid w:val="00C82A60"/>
    <w:rsid w:val="00C846DD"/>
    <w:rsid w:val="00C85CA6"/>
    <w:rsid w:val="00C87DFC"/>
    <w:rsid w:val="00C9147E"/>
    <w:rsid w:val="00C9165D"/>
    <w:rsid w:val="00C925ED"/>
    <w:rsid w:val="00C9339F"/>
    <w:rsid w:val="00C9414F"/>
    <w:rsid w:val="00C954B8"/>
    <w:rsid w:val="00C96A10"/>
    <w:rsid w:val="00C96D46"/>
    <w:rsid w:val="00C972E5"/>
    <w:rsid w:val="00C9753B"/>
    <w:rsid w:val="00C97C1B"/>
    <w:rsid w:val="00CA19CD"/>
    <w:rsid w:val="00CA2EF9"/>
    <w:rsid w:val="00CA36B4"/>
    <w:rsid w:val="00CA3E0A"/>
    <w:rsid w:val="00CA4A62"/>
    <w:rsid w:val="00CA58FD"/>
    <w:rsid w:val="00CA659E"/>
    <w:rsid w:val="00CA699D"/>
    <w:rsid w:val="00CA70B3"/>
    <w:rsid w:val="00CB06CC"/>
    <w:rsid w:val="00CB10BE"/>
    <w:rsid w:val="00CB19C0"/>
    <w:rsid w:val="00CB23DD"/>
    <w:rsid w:val="00CB2757"/>
    <w:rsid w:val="00CB2FE7"/>
    <w:rsid w:val="00CB3B57"/>
    <w:rsid w:val="00CB3CE7"/>
    <w:rsid w:val="00CB42AE"/>
    <w:rsid w:val="00CB6768"/>
    <w:rsid w:val="00CB7568"/>
    <w:rsid w:val="00CC17DB"/>
    <w:rsid w:val="00CC1DFB"/>
    <w:rsid w:val="00CC2F01"/>
    <w:rsid w:val="00CC389E"/>
    <w:rsid w:val="00CC3CDE"/>
    <w:rsid w:val="00CC451C"/>
    <w:rsid w:val="00CC527D"/>
    <w:rsid w:val="00CC6453"/>
    <w:rsid w:val="00CC7844"/>
    <w:rsid w:val="00CD1083"/>
    <w:rsid w:val="00CD1A6B"/>
    <w:rsid w:val="00CD1DD5"/>
    <w:rsid w:val="00CD2D8A"/>
    <w:rsid w:val="00CD31EA"/>
    <w:rsid w:val="00CD5744"/>
    <w:rsid w:val="00CD692F"/>
    <w:rsid w:val="00CD6AC8"/>
    <w:rsid w:val="00CD701F"/>
    <w:rsid w:val="00CD7224"/>
    <w:rsid w:val="00CD7DDB"/>
    <w:rsid w:val="00CD7FD0"/>
    <w:rsid w:val="00CE0392"/>
    <w:rsid w:val="00CE5481"/>
    <w:rsid w:val="00CE5866"/>
    <w:rsid w:val="00CE6E66"/>
    <w:rsid w:val="00CF0045"/>
    <w:rsid w:val="00CF2064"/>
    <w:rsid w:val="00CF259A"/>
    <w:rsid w:val="00CF3CB4"/>
    <w:rsid w:val="00CF3D2E"/>
    <w:rsid w:val="00CF476E"/>
    <w:rsid w:val="00CF57CA"/>
    <w:rsid w:val="00CF7194"/>
    <w:rsid w:val="00CF7C90"/>
    <w:rsid w:val="00CF7EA0"/>
    <w:rsid w:val="00D00600"/>
    <w:rsid w:val="00D01A5E"/>
    <w:rsid w:val="00D02743"/>
    <w:rsid w:val="00D0329F"/>
    <w:rsid w:val="00D05672"/>
    <w:rsid w:val="00D05979"/>
    <w:rsid w:val="00D06299"/>
    <w:rsid w:val="00D1045D"/>
    <w:rsid w:val="00D133AA"/>
    <w:rsid w:val="00D135E5"/>
    <w:rsid w:val="00D13B0B"/>
    <w:rsid w:val="00D13CCF"/>
    <w:rsid w:val="00D14CF7"/>
    <w:rsid w:val="00D15D7B"/>
    <w:rsid w:val="00D15E67"/>
    <w:rsid w:val="00D20ABB"/>
    <w:rsid w:val="00D20C32"/>
    <w:rsid w:val="00D218AF"/>
    <w:rsid w:val="00D22D26"/>
    <w:rsid w:val="00D22E6C"/>
    <w:rsid w:val="00D24AEE"/>
    <w:rsid w:val="00D24C17"/>
    <w:rsid w:val="00D25461"/>
    <w:rsid w:val="00D3073E"/>
    <w:rsid w:val="00D31027"/>
    <w:rsid w:val="00D31676"/>
    <w:rsid w:val="00D316C8"/>
    <w:rsid w:val="00D337D5"/>
    <w:rsid w:val="00D34817"/>
    <w:rsid w:val="00D35A42"/>
    <w:rsid w:val="00D365BB"/>
    <w:rsid w:val="00D3795A"/>
    <w:rsid w:val="00D37AB5"/>
    <w:rsid w:val="00D37D9F"/>
    <w:rsid w:val="00D40C74"/>
    <w:rsid w:val="00D4202C"/>
    <w:rsid w:val="00D42484"/>
    <w:rsid w:val="00D425A2"/>
    <w:rsid w:val="00D43282"/>
    <w:rsid w:val="00D43EA4"/>
    <w:rsid w:val="00D44508"/>
    <w:rsid w:val="00D45B1F"/>
    <w:rsid w:val="00D47810"/>
    <w:rsid w:val="00D5128E"/>
    <w:rsid w:val="00D52FD0"/>
    <w:rsid w:val="00D533F8"/>
    <w:rsid w:val="00D54385"/>
    <w:rsid w:val="00D54D1D"/>
    <w:rsid w:val="00D5747E"/>
    <w:rsid w:val="00D6259C"/>
    <w:rsid w:val="00D62DE1"/>
    <w:rsid w:val="00D63B91"/>
    <w:rsid w:val="00D64A4A"/>
    <w:rsid w:val="00D6679C"/>
    <w:rsid w:val="00D71C7C"/>
    <w:rsid w:val="00D7298E"/>
    <w:rsid w:val="00D73EE6"/>
    <w:rsid w:val="00D742D2"/>
    <w:rsid w:val="00D744DC"/>
    <w:rsid w:val="00D75CF7"/>
    <w:rsid w:val="00D75F59"/>
    <w:rsid w:val="00D76912"/>
    <w:rsid w:val="00D76CF2"/>
    <w:rsid w:val="00D776C3"/>
    <w:rsid w:val="00D80153"/>
    <w:rsid w:val="00D80BE0"/>
    <w:rsid w:val="00D81AC7"/>
    <w:rsid w:val="00D836D8"/>
    <w:rsid w:val="00D8461F"/>
    <w:rsid w:val="00D8495C"/>
    <w:rsid w:val="00D8604C"/>
    <w:rsid w:val="00D86737"/>
    <w:rsid w:val="00D8696A"/>
    <w:rsid w:val="00D873BA"/>
    <w:rsid w:val="00D9153B"/>
    <w:rsid w:val="00D91F02"/>
    <w:rsid w:val="00D9378B"/>
    <w:rsid w:val="00D95903"/>
    <w:rsid w:val="00D95D78"/>
    <w:rsid w:val="00DA0487"/>
    <w:rsid w:val="00DA0810"/>
    <w:rsid w:val="00DA213F"/>
    <w:rsid w:val="00DA255A"/>
    <w:rsid w:val="00DA3E98"/>
    <w:rsid w:val="00DA3FCE"/>
    <w:rsid w:val="00DA4279"/>
    <w:rsid w:val="00DA7389"/>
    <w:rsid w:val="00DB1024"/>
    <w:rsid w:val="00DB2E21"/>
    <w:rsid w:val="00DB3B59"/>
    <w:rsid w:val="00DB4203"/>
    <w:rsid w:val="00DB4E50"/>
    <w:rsid w:val="00DB7263"/>
    <w:rsid w:val="00DB7C96"/>
    <w:rsid w:val="00DB7CA1"/>
    <w:rsid w:val="00DC25DA"/>
    <w:rsid w:val="00DC2CAB"/>
    <w:rsid w:val="00DC371C"/>
    <w:rsid w:val="00DC37BA"/>
    <w:rsid w:val="00DC5149"/>
    <w:rsid w:val="00DC5F1D"/>
    <w:rsid w:val="00DC6171"/>
    <w:rsid w:val="00DC644A"/>
    <w:rsid w:val="00DD1B88"/>
    <w:rsid w:val="00DD28EE"/>
    <w:rsid w:val="00DD2A28"/>
    <w:rsid w:val="00DD3535"/>
    <w:rsid w:val="00DD3657"/>
    <w:rsid w:val="00DD3668"/>
    <w:rsid w:val="00DD3C08"/>
    <w:rsid w:val="00DE0308"/>
    <w:rsid w:val="00DE0476"/>
    <w:rsid w:val="00DE2AAC"/>
    <w:rsid w:val="00DF1125"/>
    <w:rsid w:val="00DF2012"/>
    <w:rsid w:val="00DF27AC"/>
    <w:rsid w:val="00DF28E7"/>
    <w:rsid w:val="00DF399A"/>
    <w:rsid w:val="00DF4A0F"/>
    <w:rsid w:val="00DF5FDC"/>
    <w:rsid w:val="00DF6280"/>
    <w:rsid w:val="00DF7807"/>
    <w:rsid w:val="00DF7B14"/>
    <w:rsid w:val="00E00009"/>
    <w:rsid w:val="00E00096"/>
    <w:rsid w:val="00E008AF"/>
    <w:rsid w:val="00E01EF4"/>
    <w:rsid w:val="00E0212A"/>
    <w:rsid w:val="00E02CF2"/>
    <w:rsid w:val="00E034F9"/>
    <w:rsid w:val="00E035B3"/>
    <w:rsid w:val="00E03BED"/>
    <w:rsid w:val="00E04947"/>
    <w:rsid w:val="00E05077"/>
    <w:rsid w:val="00E069F7"/>
    <w:rsid w:val="00E06C35"/>
    <w:rsid w:val="00E0710D"/>
    <w:rsid w:val="00E07F71"/>
    <w:rsid w:val="00E114D8"/>
    <w:rsid w:val="00E126EA"/>
    <w:rsid w:val="00E1347F"/>
    <w:rsid w:val="00E13E85"/>
    <w:rsid w:val="00E15952"/>
    <w:rsid w:val="00E1621B"/>
    <w:rsid w:val="00E17895"/>
    <w:rsid w:val="00E20E8E"/>
    <w:rsid w:val="00E21114"/>
    <w:rsid w:val="00E22485"/>
    <w:rsid w:val="00E22B84"/>
    <w:rsid w:val="00E24198"/>
    <w:rsid w:val="00E2456B"/>
    <w:rsid w:val="00E26045"/>
    <w:rsid w:val="00E26669"/>
    <w:rsid w:val="00E26BDB"/>
    <w:rsid w:val="00E26CDE"/>
    <w:rsid w:val="00E27304"/>
    <w:rsid w:val="00E276B4"/>
    <w:rsid w:val="00E337F5"/>
    <w:rsid w:val="00E339E4"/>
    <w:rsid w:val="00E3461B"/>
    <w:rsid w:val="00E34735"/>
    <w:rsid w:val="00E34EBC"/>
    <w:rsid w:val="00E36046"/>
    <w:rsid w:val="00E37211"/>
    <w:rsid w:val="00E37848"/>
    <w:rsid w:val="00E4034D"/>
    <w:rsid w:val="00E404B3"/>
    <w:rsid w:val="00E41202"/>
    <w:rsid w:val="00E41EE7"/>
    <w:rsid w:val="00E4207C"/>
    <w:rsid w:val="00E42084"/>
    <w:rsid w:val="00E429AE"/>
    <w:rsid w:val="00E445CA"/>
    <w:rsid w:val="00E46439"/>
    <w:rsid w:val="00E47DBA"/>
    <w:rsid w:val="00E510F6"/>
    <w:rsid w:val="00E51D02"/>
    <w:rsid w:val="00E51FE6"/>
    <w:rsid w:val="00E53BA2"/>
    <w:rsid w:val="00E544B2"/>
    <w:rsid w:val="00E55808"/>
    <w:rsid w:val="00E559EA"/>
    <w:rsid w:val="00E55FE3"/>
    <w:rsid w:val="00E5696D"/>
    <w:rsid w:val="00E56E45"/>
    <w:rsid w:val="00E60EDA"/>
    <w:rsid w:val="00E60F6F"/>
    <w:rsid w:val="00E6161C"/>
    <w:rsid w:val="00E61BDF"/>
    <w:rsid w:val="00E61C94"/>
    <w:rsid w:val="00E629B9"/>
    <w:rsid w:val="00E62DEC"/>
    <w:rsid w:val="00E63233"/>
    <w:rsid w:val="00E65F8A"/>
    <w:rsid w:val="00E664B1"/>
    <w:rsid w:val="00E66ECB"/>
    <w:rsid w:val="00E67445"/>
    <w:rsid w:val="00E67486"/>
    <w:rsid w:val="00E67723"/>
    <w:rsid w:val="00E707FD"/>
    <w:rsid w:val="00E70918"/>
    <w:rsid w:val="00E715EF"/>
    <w:rsid w:val="00E727CE"/>
    <w:rsid w:val="00E749E1"/>
    <w:rsid w:val="00E74DCF"/>
    <w:rsid w:val="00E75C1A"/>
    <w:rsid w:val="00E8007A"/>
    <w:rsid w:val="00E80578"/>
    <w:rsid w:val="00E8088B"/>
    <w:rsid w:val="00E80B43"/>
    <w:rsid w:val="00E8263A"/>
    <w:rsid w:val="00E833CB"/>
    <w:rsid w:val="00E83995"/>
    <w:rsid w:val="00E83CBA"/>
    <w:rsid w:val="00E83D2E"/>
    <w:rsid w:val="00E83FB2"/>
    <w:rsid w:val="00E86F86"/>
    <w:rsid w:val="00E90615"/>
    <w:rsid w:val="00E90D16"/>
    <w:rsid w:val="00E90F09"/>
    <w:rsid w:val="00E91FE0"/>
    <w:rsid w:val="00E92AE2"/>
    <w:rsid w:val="00E948B5"/>
    <w:rsid w:val="00E94FEF"/>
    <w:rsid w:val="00E95AC2"/>
    <w:rsid w:val="00E95AD7"/>
    <w:rsid w:val="00E97167"/>
    <w:rsid w:val="00E97DBB"/>
    <w:rsid w:val="00EA0169"/>
    <w:rsid w:val="00EA30CF"/>
    <w:rsid w:val="00EA3742"/>
    <w:rsid w:val="00EA3781"/>
    <w:rsid w:val="00EA5023"/>
    <w:rsid w:val="00EA7061"/>
    <w:rsid w:val="00EB13FE"/>
    <w:rsid w:val="00EB197F"/>
    <w:rsid w:val="00EB1B5D"/>
    <w:rsid w:val="00EB254B"/>
    <w:rsid w:val="00EB39F1"/>
    <w:rsid w:val="00EB3B70"/>
    <w:rsid w:val="00EB472E"/>
    <w:rsid w:val="00EB5434"/>
    <w:rsid w:val="00EB5C8C"/>
    <w:rsid w:val="00EB5D6C"/>
    <w:rsid w:val="00EB6A9B"/>
    <w:rsid w:val="00EB6CDD"/>
    <w:rsid w:val="00EB76D6"/>
    <w:rsid w:val="00EC0178"/>
    <w:rsid w:val="00EC02D9"/>
    <w:rsid w:val="00EC049F"/>
    <w:rsid w:val="00EC0AE1"/>
    <w:rsid w:val="00EC1A90"/>
    <w:rsid w:val="00EC2FC3"/>
    <w:rsid w:val="00EC42E9"/>
    <w:rsid w:val="00EC44D3"/>
    <w:rsid w:val="00EC48A8"/>
    <w:rsid w:val="00EC608F"/>
    <w:rsid w:val="00EC77E9"/>
    <w:rsid w:val="00ED024E"/>
    <w:rsid w:val="00ED194C"/>
    <w:rsid w:val="00ED2C26"/>
    <w:rsid w:val="00ED3898"/>
    <w:rsid w:val="00ED5EC2"/>
    <w:rsid w:val="00EE0DF2"/>
    <w:rsid w:val="00EE1DEF"/>
    <w:rsid w:val="00EE1EAA"/>
    <w:rsid w:val="00EE21DD"/>
    <w:rsid w:val="00EE4A4D"/>
    <w:rsid w:val="00EE4E90"/>
    <w:rsid w:val="00EE56DF"/>
    <w:rsid w:val="00EE6573"/>
    <w:rsid w:val="00EE761F"/>
    <w:rsid w:val="00EE7992"/>
    <w:rsid w:val="00EF012E"/>
    <w:rsid w:val="00EF1A24"/>
    <w:rsid w:val="00EF1BF1"/>
    <w:rsid w:val="00EF2C89"/>
    <w:rsid w:val="00EF57A5"/>
    <w:rsid w:val="00EF5F1B"/>
    <w:rsid w:val="00EF71E1"/>
    <w:rsid w:val="00F00A3D"/>
    <w:rsid w:val="00F01BD5"/>
    <w:rsid w:val="00F0264E"/>
    <w:rsid w:val="00F0272F"/>
    <w:rsid w:val="00F02E07"/>
    <w:rsid w:val="00F05C5F"/>
    <w:rsid w:val="00F05EAF"/>
    <w:rsid w:val="00F06D7C"/>
    <w:rsid w:val="00F07BA1"/>
    <w:rsid w:val="00F1049D"/>
    <w:rsid w:val="00F119F0"/>
    <w:rsid w:val="00F13006"/>
    <w:rsid w:val="00F134DF"/>
    <w:rsid w:val="00F13C8C"/>
    <w:rsid w:val="00F147FD"/>
    <w:rsid w:val="00F15FC1"/>
    <w:rsid w:val="00F17762"/>
    <w:rsid w:val="00F2177F"/>
    <w:rsid w:val="00F2391B"/>
    <w:rsid w:val="00F23C5A"/>
    <w:rsid w:val="00F23C69"/>
    <w:rsid w:val="00F23E91"/>
    <w:rsid w:val="00F26A53"/>
    <w:rsid w:val="00F277BF"/>
    <w:rsid w:val="00F277D4"/>
    <w:rsid w:val="00F31104"/>
    <w:rsid w:val="00F3248E"/>
    <w:rsid w:val="00F34E93"/>
    <w:rsid w:val="00F3513F"/>
    <w:rsid w:val="00F35189"/>
    <w:rsid w:val="00F36EB3"/>
    <w:rsid w:val="00F3722E"/>
    <w:rsid w:val="00F401B9"/>
    <w:rsid w:val="00F42DBB"/>
    <w:rsid w:val="00F44505"/>
    <w:rsid w:val="00F4474B"/>
    <w:rsid w:val="00F46A6F"/>
    <w:rsid w:val="00F513E5"/>
    <w:rsid w:val="00F5219B"/>
    <w:rsid w:val="00F53138"/>
    <w:rsid w:val="00F5321D"/>
    <w:rsid w:val="00F534C0"/>
    <w:rsid w:val="00F538CC"/>
    <w:rsid w:val="00F53EC6"/>
    <w:rsid w:val="00F54708"/>
    <w:rsid w:val="00F54930"/>
    <w:rsid w:val="00F5523B"/>
    <w:rsid w:val="00F577C0"/>
    <w:rsid w:val="00F57BBF"/>
    <w:rsid w:val="00F61A73"/>
    <w:rsid w:val="00F623B6"/>
    <w:rsid w:val="00F6280F"/>
    <w:rsid w:val="00F62819"/>
    <w:rsid w:val="00F6394B"/>
    <w:rsid w:val="00F66191"/>
    <w:rsid w:val="00F6706D"/>
    <w:rsid w:val="00F708D9"/>
    <w:rsid w:val="00F7149C"/>
    <w:rsid w:val="00F71974"/>
    <w:rsid w:val="00F720FB"/>
    <w:rsid w:val="00F73526"/>
    <w:rsid w:val="00F7735B"/>
    <w:rsid w:val="00F77D50"/>
    <w:rsid w:val="00F80602"/>
    <w:rsid w:val="00F80E1D"/>
    <w:rsid w:val="00F81376"/>
    <w:rsid w:val="00F83F92"/>
    <w:rsid w:val="00F84089"/>
    <w:rsid w:val="00F84C20"/>
    <w:rsid w:val="00F87E28"/>
    <w:rsid w:val="00F9001F"/>
    <w:rsid w:val="00F90BE8"/>
    <w:rsid w:val="00F912AC"/>
    <w:rsid w:val="00F92112"/>
    <w:rsid w:val="00F9230A"/>
    <w:rsid w:val="00F92366"/>
    <w:rsid w:val="00F92753"/>
    <w:rsid w:val="00F9598E"/>
    <w:rsid w:val="00F96B32"/>
    <w:rsid w:val="00F9735A"/>
    <w:rsid w:val="00FA17DB"/>
    <w:rsid w:val="00FA2BA3"/>
    <w:rsid w:val="00FA42F4"/>
    <w:rsid w:val="00FA4E40"/>
    <w:rsid w:val="00FA4EE3"/>
    <w:rsid w:val="00FB0730"/>
    <w:rsid w:val="00FB0BC1"/>
    <w:rsid w:val="00FB14A0"/>
    <w:rsid w:val="00FB2E4F"/>
    <w:rsid w:val="00FB4E4A"/>
    <w:rsid w:val="00FB55B0"/>
    <w:rsid w:val="00FB585B"/>
    <w:rsid w:val="00FB596D"/>
    <w:rsid w:val="00FB5C0D"/>
    <w:rsid w:val="00FB6D3A"/>
    <w:rsid w:val="00FB7924"/>
    <w:rsid w:val="00FB7F35"/>
    <w:rsid w:val="00FC11D6"/>
    <w:rsid w:val="00FC238F"/>
    <w:rsid w:val="00FC48DD"/>
    <w:rsid w:val="00FC569E"/>
    <w:rsid w:val="00FC619E"/>
    <w:rsid w:val="00FC67E5"/>
    <w:rsid w:val="00FC6BFF"/>
    <w:rsid w:val="00FC6FA7"/>
    <w:rsid w:val="00FD04EB"/>
    <w:rsid w:val="00FD08EC"/>
    <w:rsid w:val="00FD1036"/>
    <w:rsid w:val="00FD131D"/>
    <w:rsid w:val="00FD1418"/>
    <w:rsid w:val="00FD2DB5"/>
    <w:rsid w:val="00FD4A0D"/>
    <w:rsid w:val="00FD5027"/>
    <w:rsid w:val="00FD5177"/>
    <w:rsid w:val="00FD740F"/>
    <w:rsid w:val="00FD79A2"/>
    <w:rsid w:val="00FE2BCF"/>
    <w:rsid w:val="00FE35E1"/>
    <w:rsid w:val="00FE5ACC"/>
    <w:rsid w:val="00FE6D86"/>
    <w:rsid w:val="00FE6E63"/>
    <w:rsid w:val="00FF0609"/>
    <w:rsid w:val="00FF0DA7"/>
    <w:rsid w:val="00FF3276"/>
    <w:rsid w:val="00FF58B8"/>
    <w:rsid w:val="00FF5B26"/>
    <w:rsid w:val="00FF61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08353A"/>
  <w15:docId w15:val="{E1FFC2AC-FE29-48B0-9431-1805CA3C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Bullets,List Paragraph1,List Paragraph (numbered (a)),Akapit z listą BS,WB Para,List Square,Lapis Bulleted Lis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D6679C"/>
    <w:rPr>
      <w:rFonts w:ascii="Courier" w:hAnsi="Courier"/>
      <w:lang w:val="en-US" w:eastAsia="en-US"/>
    </w:rPr>
  </w:style>
  <w:style w:type="paragraph" w:customStyle="1" w:styleId="Char2">
    <w:name w:val="Char2"/>
    <w:basedOn w:val="Normal"/>
    <w:link w:val="FootnoteReference"/>
    <w:uiPriority w:val="99"/>
    <w:rsid w:val="005763E8"/>
    <w:pPr>
      <w:spacing w:after="160" w:line="240" w:lineRule="exact"/>
    </w:pPr>
    <w:rPr>
      <w:vertAlign w:val="superscript"/>
      <w:lang w:val="en-GB" w:eastAsia="en-GB"/>
    </w:rPr>
  </w:style>
  <w:style w:type="paragraph" w:customStyle="1" w:styleId="Default">
    <w:name w:val="Default"/>
    <w:uiPriority w:val="99"/>
    <w:rsid w:val="005763E8"/>
    <w:pPr>
      <w:autoSpaceDE w:val="0"/>
      <w:autoSpaceDN w:val="0"/>
      <w:adjustRightInd w:val="0"/>
    </w:pPr>
    <w:rPr>
      <w:rFonts w:ascii="Calibri" w:eastAsiaTheme="minorEastAsia" w:hAnsi="Calibri" w:cs="Calibri"/>
      <w:color w:val="000000"/>
      <w:sz w:val="24"/>
      <w:szCs w:val="24"/>
      <w:lang w:val="en-US" w:eastAsia="en-US"/>
    </w:rPr>
  </w:style>
  <w:style w:type="character" w:customStyle="1" w:styleId="ListParagraphChar">
    <w:name w:val="List Paragraph Char"/>
    <w:aliases w:val="Bullets Char,List Paragraph1 Char,List Paragraph (numbered (a)) Char,Akapit z listą BS Char,WB Para Char,List Square Char,Lapis Bulleted List Char"/>
    <w:basedOn w:val="DefaultParagraphFont"/>
    <w:link w:val="ListParagraph"/>
    <w:uiPriority w:val="34"/>
    <w:rsid w:val="003643E2"/>
    <w:rPr>
      <w:lang w:val="en-US" w:eastAsia="en-US"/>
    </w:rPr>
  </w:style>
  <w:style w:type="character" w:customStyle="1" w:styleId="hps">
    <w:name w:val="hps"/>
    <w:basedOn w:val="DefaultParagraphFont"/>
    <w:rsid w:val="00C97C1B"/>
  </w:style>
  <w:style w:type="paragraph" w:customStyle="1" w:styleId="DualTxt">
    <w:name w:val="__Dual Txt"/>
    <w:basedOn w:val="Normal"/>
    <w:rsid w:val="00781983"/>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heme="minorHAnsi"/>
      <w:spacing w:val="4"/>
      <w:w w:val="103"/>
      <w:kern w:val="14"/>
      <w:lang w:val="en-GB"/>
    </w:rPr>
  </w:style>
  <w:style w:type="character" w:customStyle="1" w:styleId="EmailStyle24">
    <w:name w:val="EmailStyle24"/>
    <w:rsid w:val="0053221C"/>
    <w:rPr>
      <w:rFonts w:ascii="Arial" w:hAnsi="Arial" w:cs="Arial" w:hint="default"/>
      <w:color w:val="000000"/>
    </w:rPr>
  </w:style>
  <w:style w:type="character" w:customStyle="1" w:styleId="Heading2Char">
    <w:name w:val="Heading 2 Char"/>
    <w:basedOn w:val="DefaultParagraphFont"/>
    <w:link w:val="Heading2"/>
    <w:rsid w:val="008E3649"/>
    <w:rPr>
      <w:rFonts w:ascii="Arial" w:hAnsi="Arial"/>
      <w:b/>
      <w:sz w:val="28"/>
      <w:lang w:val="en-US" w:eastAsia="en-US"/>
    </w:rPr>
  </w:style>
  <w:style w:type="paragraph" w:styleId="Revision">
    <w:name w:val="Revision"/>
    <w:hidden/>
    <w:uiPriority w:val="99"/>
    <w:semiHidden/>
    <w:rsid w:val="000A0FF1"/>
    <w:rPr>
      <w:lang w:val="en-US" w:eastAsia="en-US"/>
    </w:rPr>
  </w:style>
  <w:style w:type="character" w:customStyle="1" w:styleId="Heading4Char">
    <w:name w:val="Heading 4 Char"/>
    <w:basedOn w:val="DefaultParagraphFont"/>
    <w:link w:val="Heading4"/>
    <w:rsid w:val="00475A14"/>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00235046">
      <w:bodyDiv w:val="1"/>
      <w:marLeft w:val="0"/>
      <w:marRight w:val="0"/>
      <w:marTop w:val="0"/>
      <w:marBottom w:val="0"/>
      <w:divBdr>
        <w:top w:val="none" w:sz="0" w:space="0" w:color="auto"/>
        <w:left w:val="none" w:sz="0" w:space="0" w:color="auto"/>
        <w:bottom w:val="none" w:sz="0" w:space="0" w:color="auto"/>
        <w:right w:val="none" w:sz="0" w:space="0" w:color="auto"/>
      </w:divBdr>
    </w:div>
    <w:div w:id="319308595">
      <w:bodyDiv w:val="1"/>
      <w:marLeft w:val="0"/>
      <w:marRight w:val="0"/>
      <w:marTop w:val="0"/>
      <w:marBottom w:val="0"/>
      <w:divBdr>
        <w:top w:val="none" w:sz="0" w:space="0" w:color="auto"/>
        <w:left w:val="none" w:sz="0" w:space="0" w:color="auto"/>
        <w:bottom w:val="none" w:sz="0" w:space="0" w:color="auto"/>
        <w:right w:val="none" w:sz="0" w:space="0" w:color="auto"/>
      </w:divBdr>
    </w:div>
    <w:div w:id="459806817">
      <w:bodyDiv w:val="1"/>
      <w:marLeft w:val="0"/>
      <w:marRight w:val="0"/>
      <w:marTop w:val="0"/>
      <w:marBottom w:val="0"/>
      <w:divBdr>
        <w:top w:val="none" w:sz="0" w:space="0" w:color="auto"/>
        <w:left w:val="none" w:sz="0" w:space="0" w:color="auto"/>
        <w:bottom w:val="none" w:sz="0" w:space="0" w:color="auto"/>
        <w:right w:val="none" w:sz="0" w:space="0" w:color="auto"/>
      </w:divBdr>
    </w:div>
    <w:div w:id="547424276">
      <w:bodyDiv w:val="1"/>
      <w:marLeft w:val="0"/>
      <w:marRight w:val="0"/>
      <w:marTop w:val="0"/>
      <w:marBottom w:val="0"/>
      <w:divBdr>
        <w:top w:val="none" w:sz="0" w:space="0" w:color="auto"/>
        <w:left w:val="none" w:sz="0" w:space="0" w:color="auto"/>
        <w:bottom w:val="none" w:sz="0" w:space="0" w:color="auto"/>
        <w:right w:val="none" w:sz="0" w:space="0" w:color="auto"/>
      </w:divBdr>
    </w:div>
    <w:div w:id="562638522">
      <w:bodyDiv w:val="1"/>
      <w:marLeft w:val="0"/>
      <w:marRight w:val="0"/>
      <w:marTop w:val="0"/>
      <w:marBottom w:val="0"/>
      <w:divBdr>
        <w:top w:val="none" w:sz="0" w:space="0" w:color="auto"/>
        <w:left w:val="none" w:sz="0" w:space="0" w:color="auto"/>
        <w:bottom w:val="none" w:sz="0" w:space="0" w:color="auto"/>
        <w:right w:val="none" w:sz="0" w:space="0" w:color="auto"/>
      </w:divBdr>
    </w:div>
    <w:div w:id="579219452">
      <w:bodyDiv w:val="1"/>
      <w:marLeft w:val="0"/>
      <w:marRight w:val="0"/>
      <w:marTop w:val="0"/>
      <w:marBottom w:val="0"/>
      <w:divBdr>
        <w:top w:val="none" w:sz="0" w:space="0" w:color="auto"/>
        <w:left w:val="none" w:sz="0" w:space="0" w:color="auto"/>
        <w:bottom w:val="none" w:sz="0" w:space="0" w:color="auto"/>
        <w:right w:val="none" w:sz="0" w:space="0" w:color="auto"/>
      </w:divBdr>
    </w:div>
    <w:div w:id="605624373">
      <w:bodyDiv w:val="1"/>
      <w:marLeft w:val="0"/>
      <w:marRight w:val="0"/>
      <w:marTop w:val="0"/>
      <w:marBottom w:val="0"/>
      <w:divBdr>
        <w:top w:val="none" w:sz="0" w:space="0" w:color="auto"/>
        <w:left w:val="none" w:sz="0" w:space="0" w:color="auto"/>
        <w:bottom w:val="none" w:sz="0" w:space="0" w:color="auto"/>
        <w:right w:val="none" w:sz="0" w:space="0" w:color="auto"/>
      </w:divBdr>
    </w:div>
    <w:div w:id="654989834">
      <w:bodyDiv w:val="1"/>
      <w:marLeft w:val="0"/>
      <w:marRight w:val="0"/>
      <w:marTop w:val="0"/>
      <w:marBottom w:val="0"/>
      <w:divBdr>
        <w:top w:val="none" w:sz="0" w:space="0" w:color="auto"/>
        <w:left w:val="none" w:sz="0" w:space="0" w:color="auto"/>
        <w:bottom w:val="none" w:sz="0" w:space="0" w:color="auto"/>
        <w:right w:val="none" w:sz="0" w:space="0" w:color="auto"/>
      </w:divBdr>
    </w:div>
    <w:div w:id="774330281">
      <w:bodyDiv w:val="1"/>
      <w:marLeft w:val="0"/>
      <w:marRight w:val="0"/>
      <w:marTop w:val="0"/>
      <w:marBottom w:val="0"/>
      <w:divBdr>
        <w:top w:val="none" w:sz="0" w:space="0" w:color="auto"/>
        <w:left w:val="none" w:sz="0" w:space="0" w:color="auto"/>
        <w:bottom w:val="none" w:sz="0" w:space="0" w:color="auto"/>
        <w:right w:val="none" w:sz="0" w:space="0" w:color="auto"/>
      </w:divBdr>
    </w:div>
    <w:div w:id="795371825">
      <w:bodyDiv w:val="1"/>
      <w:marLeft w:val="0"/>
      <w:marRight w:val="0"/>
      <w:marTop w:val="0"/>
      <w:marBottom w:val="0"/>
      <w:divBdr>
        <w:top w:val="none" w:sz="0" w:space="0" w:color="auto"/>
        <w:left w:val="none" w:sz="0" w:space="0" w:color="auto"/>
        <w:bottom w:val="none" w:sz="0" w:space="0" w:color="auto"/>
        <w:right w:val="none" w:sz="0" w:space="0" w:color="auto"/>
      </w:divBdr>
    </w:div>
    <w:div w:id="812019431">
      <w:bodyDiv w:val="1"/>
      <w:marLeft w:val="0"/>
      <w:marRight w:val="0"/>
      <w:marTop w:val="0"/>
      <w:marBottom w:val="0"/>
      <w:divBdr>
        <w:top w:val="none" w:sz="0" w:space="0" w:color="auto"/>
        <w:left w:val="none" w:sz="0" w:space="0" w:color="auto"/>
        <w:bottom w:val="none" w:sz="0" w:space="0" w:color="auto"/>
        <w:right w:val="none" w:sz="0" w:space="0" w:color="auto"/>
      </w:divBdr>
    </w:div>
    <w:div w:id="826555988">
      <w:bodyDiv w:val="1"/>
      <w:marLeft w:val="0"/>
      <w:marRight w:val="0"/>
      <w:marTop w:val="0"/>
      <w:marBottom w:val="0"/>
      <w:divBdr>
        <w:top w:val="none" w:sz="0" w:space="0" w:color="auto"/>
        <w:left w:val="none" w:sz="0" w:space="0" w:color="auto"/>
        <w:bottom w:val="none" w:sz="0" w:space="0" w:color="auto"/>
        <w:right w:val="none" w:sz="0" w:space="0" w:color="auto"/>
      </w:divBdr>
    </w:div>
    <w:div w:id="845249954">
      <w:bodyDiv w:val="1"/>
      <w:marLeft w:val="0"/>
      <w:marRight w:val="0"/>
      <w:marTop w:val="0"/>
      <w:marBottom w:val="0"/>
      <w:divBdr>
        <w:top w:val="none" w:sz="0" w:space="0" w:color="auto"/>
        <w:left w:val="none" w:sz="0" w:space="0" w:color="auto"/>
        <w:bottom w:val="none" w:sz="0" w:space="0" w:color="auto"/>
        <w:right w:val="none" w:sz="0" w:space="0" w:color="auto"/>
      </w:divBdr>
    </w:div>
    <w:div w:id="1093161727">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05433132">
      <w:bodyDiv w:val="1"/>
      <w:marLeft w:val="0"/>
      <w:marRight w:val="0"/>
      <w:marTop w:val="0"/>
      <w:marBottom w:val="0"/>
      <w:divBdr>
        <w:top w:val="none" w:sz="0" w:space="0" w:color="auto"/>
        <w:left w:val="none" w:sz="0" w:space="0" w:color="auto"/>
        <w:bottom w:val="none" w:sz="0" w:space="0" w:color="auto"/>
        <w:right w:val="none" w:sz="0" w:space="0" w:color="auto"/>
      </w:divBdr>
    </w:div>
    <w:div w:id="1330523382">
      <w:bodyDiv w:val="1"/>
      <w:marLeft w:val="0"/>
      <w:marRight w:val="0"/>
      <w:marTop w:val="0"/>
      <w:marBottom w:val="0"/>
      <w:divBdr>
        <w:top w:val="none" w:sz="0" w:space="0" w:color="auto"/>
        <w:left w:val="none" w:sz="0" w:space="0" w:color="auto"/>
        <w:bottom w:val="none" w:sz="0" w:space="0" w:color="auto"/>
        <w:right w:val="none" w:sz="0" w:space="0" w:color="auto"/>
      </w:divBdr>
    </w:div>
    <w:div w:id="1880625355">
      <w:bodyDiv w:val="1"/>
      <w:marLeft w:val="0"/>
      <w:marRight w:val="0"/>
      <w:marTop w:val="0"/>
      <w:marBottom w:val="0"/>
      <w:divBdr>
        <w:top w:val="none" w:sz="0" w:space="0" w:color="auto"/>
        <w:left w:val="none" w:sz="0" w:space="0" w:color="auto"/>
        <w:bottom w:val="none" w:sz="0" w:space="0" w:color="auto"/>
        <w:right w:val="none" w:sz="0" w:space="0" w:color="auto"/>
      </w:divBdr>
    </w:div>
    <w:div w:id="1985311480">
      <w:bodyDiv w:val="1"/>
      <w:marLeft w:val="0"/>
      <w:marRight w:val="0"/>
      <w:marTop w:val="0"/>
      <w:marBottom w:val="0"/>
      <w:divBdr>
        <w:top w:val="none" w:sz="0" w:space="0" w:color="auto"/>
        <w:left w:val="none" w:sz="0" w:space="0" w:color="auto"/>
        <w:bottom w:val="none" w:sz="0" w:space="0" w:color="auto"/>
        <w:right w:val="none" w:sz="0" w:space="0" w:color="auto"/>
      </w:divBdr>
    </w:div>
    <w:div w:id="2065134768">
      <w:bodyDiv w:val="1"/>
      <w:marLeft w:val="0"/>
      <w:marRight w:val="0"/>
      <w:marTop w:val="0"/>
      <w:marBottom w:val="0"/>
      <w:divBdr>
        <w:top w:val="none" w:sz="0" w:space="0" w:color="auto"/>
        <w:left w:val="none" w:sz="0" w:space="0" w:color="auto"/>
        <w:bottom w:val="none" w:sz="0" w:space="0" w:color="auto"/>
        <w:right w:val="none" w:sz="0" w:space="0" w:color="auto"/>
      </w:divBdr>
    </w:div>
    <w:div w:id="2083139411">
      <w:bodyDiv w:val="1"/>
      <w:marLeft w:val="0"/>
      <w:marRight w:val="0"/>
      <w:marTop w:val="0"/>
      <w:marBottom w:val="0"/>
      <w:divBdr>
        <w:top w:val="none" w:sz="0" w:space="0" w:color="auto"/>
        <w:left w:val="none" w:sz="0" w:space="0" w:color="auto"/>
        <w:bottom w:val="none" w:sz="0" w:space="0" w:color="auto"/>
        <w:right w:val="none" w:sz="0" w:space="0" w:color="auto"/>
      </w:divBdr>
    </w:div>
    <w:div w:id="21437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worldbank.org/indicator/SI.POV.GINI?page" TargetMode="External"/><Relationship Id="rId1" Type="http://schemas.openxmlformats.org/officeDocument/2006/relationships/hyperlink" Target="http://www.monstat.org/eng/novosti.php?id=17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3ed2304-0f0e-45ba-b0cc-7d360cbc1769" xsi:nil="true"/>
    <_dlc_DocIdUrl xmlns="83ed2304-0f0e-45ba-b0cc-7d360cbc1769">
      <Url xsi:nil="true"/>
      <Description xsi:nil="true"/>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5B70-81C9-4530-9909-A818764F4661}">
  <ds:schemaRefs>
    <ds:schemaRef ds:uri="http://schemas.microsoft.com/sharepoint/event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3.xml><?xml version="1.0" encoding="utf-8"?>
<ds:datastoreItem xmlns:ds="http://schemas.openxmlformats.org/officeDocument/2006/customXml" ds:itemID="{8AC41F18-DD58-45A1-94B6-DAF8FAC4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8592C415-CD85-435E-9DD0-E2F0A776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6146</Words>
  <Characters>35036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CPD- Revised Template and Guidance</vt:lpstr>
    </vt:vector>
  </TitlesOfParts>
  <Company>Microsoft</Company>
  <LinksUpToDate>false</LinksUpToDate>
  <CharactersWithSpaces>41100</CharactersWithSpaces>
  <SharedDoc>false</SharedDoc>
  <HyperlinkBase/>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5</cp:revision>
  <cp:lastPrinted>2016-05-17T10:01:00Z</cp:lastPrinted>
  <dcterms:created xsi:type="dcterms:W3CDTF">2016-05-26T14:51:00Z</dcterms:created>
  <dcterms:modified xsi:type="dcterms:W3CDTF">2016-05-27T12:38:00Z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ies>
</file>